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6.png" ContentType="image/png"/>
  <Override PartName="/word/media/rId99.png" ContentType="image/png"/>
  <Override PartName="/word/media/rId93.png" ContentType="image/png"/>
  <Override PartName="/word/media/rId114.pdf" ContentType="application/pdf"/>
  <Override PartName="/word/media/rId131.pdf" ContentType="application/pdf"/>
  <Override PartName="/word/media/rId136.pdf" ContentType="application/pdf"/>
  <Override PartName="/word/media/rId141.pdf" ContentType="application/pdf"/>
  <Override PartName="/word/media/rId233.png" ContentType="image/png"/>
  <Override PartName="/word/media/rId236.png" ContentType="image/png"/>
  <Override PartName="/word/media/rId230.png" ContentType="image/png"/>
  <Override PartName="/word/media/rId248.png" ContentType="image/png"/>
  <Override PartName="/word/media/rId262.png" ContentType="image/png"/>
  <Override PartName="/word/media/rId267.png" ContentType="image/png"/>
  <Override PartName="/word/media/rId397.png" ContentType="image/png"/>
  <Override PartName="/word/media/rId403.png" ContentType="image/png"/>
  <Override PartName="/word/media/rId400.png" ContentType="image/png"/>
  <Override PartName="/word/media/rId425.png" ContentType="image/png"/>
  <Override PartName="/word/media/rId432.png" ContentType="image/png"/>
  <Override PartName="/word/media/rId503.png" ContentType="image/png"/>
  <Override PartName="/word/media/rId506.png" ContentType="image/png"/>
  <Override PartName="/word/media/rId500.png" ContentType="image/png"/>
  <Override PartName="/word/media/rId524.png" ContentType="image/png"/>
  <Override PartName="/word/media/rId528.png" ContentType="image/png"/>
  <Override PartName="/word/media/rId5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0"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(Y. 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89" w:name="references"/>
    <w:p>
      <w:pPr>
        <w:pStyle w:val="Heading2"/>
      </w:pPr>
      <w:r>
        <w:t xml:space="preserve">References</w:t>
      </w:r>
    </w:p>
    <w:bookmarkStart w:id="88"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2"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62"/>
    <w:bookmarkStart w:id="64"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64"/>
    <w:bookmarkStart w:id="66"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66"/>
    <w:bookmarkStart w:id="68"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68"/>
    <w:bookmarkStart w:id="70"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70"/>
    <w:bookmarkStart w:id="72"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72"/>
    <w:bookmarkStart w:id="74"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74"/>
    <w:bookmarkStart w:id="76"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76"/>
    <w:bookmarkStart w:id="78"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78"/>
    <w:bookmarkStart w:id="80"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0"/>
    <w:bookmarkStart w:id="81"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1"/>
    <w:bookmarkStart w:id="83"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3"/>
    <w:bookmarkStart w:id="85"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5"/>
    <w:bookmarkStart w:id="87"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7"/>
    <w:bookmarkEnd w:id="88"/>
    <w:bookmarkEnd w:id="89"/>
    <w:bookmarkEnd w:id="90"/>
    <w:bookmarkStart w:id="227"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1">
        <w:r>
          <w:rPr>
            <w:rStyle w:val="Hyperlink"/>
          </w:rPr>
          <w:t xml:space="preserve">DOI</w:t>
        </w:r>
      </w:hyperlink>
    </w:p>
    <w:bookmarkStart w:id="92"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2"/>
    <w:bookmarkStart w:id="102"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4" name="Picture"/>
            <a:graphic>
              <a:graphicData uri="http://schemas.openxmlformats.org/drawingml/2006/picture">
                <pic:pic>
                  <pic:nvPicPr>
                    <pic:cNvPr descr="2.Chapter/../img/qrcode_supp2.png" id="95" name="Picture"/>
                    <pic:cNvPicPr>
                      <a:picLocks noChangeArrowheads="1" noChangeAspect="1"/>
                    </pic:cNvPicPr>
                  </pic:nvPicPr>
                  <pic:blipFill>
                    <a:blip r:embed="rId9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7" name="Picture"/>
            <a:graphic>
              <a:graphicData uri="http://schemas.openxmlformats.org/drawingml/2006/picture">
                <pic:pic>
                  <pic:nvPicPr>
                    <pic:cNvPr descr="2.Chapter/../img/qrcode_chap2_repo.png" id="98" name="Picture"/>
                    <pic:cNvPicPr>
                      <a:picLocks noChangeArrowheads="1" noChangeAspect="1"/>
                    </pic:cNvPicPr>
                  </pic:nvPicPr>
                  <pic:blipFill>
                    <a:blip r:embed="rId96"/>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0" name="Picture"/>
            <a:graphic>
              <a:graphicData uri="http://schemas.openxmlformats.org/drawingml/2006/picture">
                <pic:pic>
                  <pic:nvPicPr>
                    <pic:cNvPr descr="2.Chapter/../img/qrcode_els_repo.png" id="101" name="Picture"/>
                    <pic:cNvPicPr>
                      <a:picLocks noChangeArrowheads="1" noChangeAspect="1"/>
                    </pic:cNvPicPr>
                  </pic:nvPicPr>
                  <pic:blipFill>
                    <a:blip r:embed="rId99"/>
                    <a:stretch>
                      <a:fillRect/>
                    </a:stretch>
                  </pic:blipFill>
                  <pic:spPr bwMode="auto">
                    <a:xfrm>
                      <a:off x="0" y="0"/>
                      <a:ext cx="1188720" cy="1188720"/>
                    </a:xfrm>
                    <a:prstGeom prst="rect">
                      <a:avLst/>
                    </a:prstGeom>
                    <a:noFill/>
                    <a:ln w="9525">
                      <a:noFill/>
                      <a:headEnd/>
                      <a:tailEnd/>
                    </a:ln>
                  </pic:spPr>
                </pic:pic>
              </a:graphicData>
            </a:graphic>
          </wp:inline>
        </w:drawing>
      </w:r>
    </w:p>
    <w:bookmarkEnd w:id="102"/>
    <w:bookmarkStart w:id="103" w:name="keywords"/>
    <w:p>
      <w:pPr>
        <w:pStyle w:val="Heading2"/>
      </w:pPr>
      <w:r>
        <w:t xml:space="preserve">Keywords</w:t>
      </w:r>
    </w:p>
    <w:p>
      <w:pPr>
        <w:pStyle w:val="FirstParagraph"/>
      </w:pPr>
      <w:r>
        <w:t xml:space="preserve">Early-life stress; Internalizing symptoms; Adiposity; Comorbidity; Generation R; ALSPAC.</w:t>
      </w:r>
    </w:p>
    <w:bookmarkEnd w:id="103"/>
    <w:bookmarkStart w:id="104"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4"/>
    <w:bookmarkStart w:id="105"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5"/>
    <w:bookmarkStart w:id="128"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8"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7"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7"/>
    <w:bookmarkEnd w:id="108"/>
    <w:bookmarkStart w:id="120" w:name="measures"/>
    <w:p>
      <w:pPr>
        <w:pStyle w:val="Heading3"/>
      </w:pPr>
      <w:r>
        <w:t xml:space="preserve">Measures</w:t>
      </w:r>
    </w:p>
    <w:bookmarkStart w:id="111"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09">
        <w:r>
          <w:rPr>
            <w:rStyle w:val="Hyperlink"/>
            <w:i/>
            <w:iCs/>
          </w:rPr>
          <w:t xml:space="preserve">Supplement 1</w:t>
        </w:r>
      </w:hyperlink>
      <w:r>
        <w:t xml:space="preserve"> </w:t>
      </w:r>
      <w:r>
        <w:t xml:space="preserve">(see also the score’s</w:t>
      </w:r>
      <w:r>
        <w:t xml:space="preserve"> </w:t>
      </w:r>
      <w:hyperlink r:id="rId110">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1"/>
    <w:bookmarkStart w:id="112"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2"/>
    <w:bookmarkStart w:id="113"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3"/>
    <w:bookmarkStart w:id="118"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7" w:name="fig-2.1"/>
          <w:p>
            <w:pPr>
              <w:pStyle w:val="Compact"/>
              <w:jc w:val="center"/>
            </w:pPr>
            <w:r>
              <w:drawing>
                <wp:inline>
                  <wp:extent cx="5943600" cy="7588546"/>
                  <wp:effectExtent b="0" l="0" r="0" t="0"/>
                  <wp:docPr descr="" title="" id="115" name="Picture"/>
                  <a:graphic>
                    <a:graphicData uri="http://schemas.openxmlformats.org/drawingml/2006/picture">
                      <pic:pic>
                        <pic:nvPicPr>
                          <pic:cNvPr descr="2.Chapter/Figures/F1_ELStime.pdf" id="116" name="Picture"/>
                          <pic:cNvPicPr>
                            <a:picLocks noChangeArrowheads="1" noChangeAspect="1"/>
                          </pic:cNvPicPr>
                        </pic:nvPicPr>
                        <pic:blipFill>
                          <a:blip r:embed="rId114"/>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7"/>
        </w:tc>
      </w:tr>
    </w:tbl>
    <w:bookmarkEnd w:id="118"/>
    <w:bookmarkStart w:id="119"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09">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3</w:t>
        </w:r>
      </w:hyperlink>
      <w:r>
        <w:t xml:space="preserve"> </w:t>
      </w:r>
      <w:r>
        <w:t xml:space="preserve">for additional information on covariates measurement and distribution.</w:t>
      </w:r>
    </w:p>
    <w:bookmarkEnd w:id="119"/>
    <w:bookmarkEnd w:id="120"/>
    <w:bookmarkStart w:id="127"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1">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09">
        <w:r>
          <w:rPr>
            <w:rStyle w:val="Hyperlink"/>
            <w:i/>
            <w:iCs/>
          </w:rPr>
          <w:t xml:space="preserve">Supplement 4</w:t>
        </w:r>
      </w:hyperlink>
      <w:r>
        <w:t xml:space="preserve"> </w:t>
      </w:r>
      <w:r>
        <w:t xml:space="preserve">and</w:t>
      </w:r>
      <w:r>
        <w:t xml:space="preserve"> </w:t>
      </w:r>
      <w:hyperlink r:id="rId122">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3"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(A. Wang &amp; Arah, 2015)</w:t>
      </w:r>
      <w:r>
        <w:t xml:space="preserve">. The method is described in detail in online</w:t>
      </w:r>
      <w:r>
        <w:t xml:space="preserve"> </w:t>
      </w:r>
      <w:hyperlink r:id="rId109">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3"/>
    <w:bookmarkStart w:id="124"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4"/>
    <w:bookmarkStart w:id="125"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5"/>
    <w:bookmarkStart w:id="126"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6"/>
    <w:bookmarkEnd w:id="127"/>
    <w:bookmarkEnd w:id="128"/>
    <w:bookmarkStart w:id="150" w:name="results"/>
    <w:p>
      <w:pPr>
        <w:pStyle w:val="Heading2"/>
      </w:pPr>
      <w:r>
        <w:t xml:space="preserve">2.3 Results</w:t>
      </w:r>
    </w:p>
    <w:bookmarkStart w:id="130"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29"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29"/>
          <w:p/>
        </w:tc>
      </w:tr>
    </w:tbl>
    <w:bookmarkEnd w:id="130"/>
    <w:bookmarkStart w:id="135"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2">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4" w:name="fig-2.2"/>
          <w:p>
            <w:pPr>
              <w:pStyle w:val="Compact"/>
              <w:jc w:val="center"/>
            </w:pPr>
            <w:r>
              <w:drawing>
                <wp:inline>
                  <wp:extent cx="5943600" cy="8410943"/>
                  <wp:effectExtent b="0" l="0" r="0" t="0"/>
                  <wp:docPr descr="" title="" id="132" name="Picture"/>
                  <a:graphic>
                    <a:graphicData uri="http://schemas.openxmlformats.org/drawingml/2006/picture">
                      <pic:pic>
                        <pic:nvPicPr>
                          <pic:cNvPr descr="2.Chapter/Figures/F2_CMAres.pdf" id="133" name="Picture"/>
                          <pic:cNvPicPr>
                            <a:picLocks noChangeArrowheads="1" noChangeAspect="1"/>
                          </pic:cNvPicPr>
                        </pic:nvPicPr>
                        <pic:blipFill>
                          <a:blip r:embed="rId13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4"/>
        </w:tc>
      </w:tr>
    </w:tbl>
    <w:bookmarkEnd w:id="135"/>
    <w:bookmarkStart w:id="140"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2">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39" w:name="fig-2.3"/>
          <w:p>
            <w:pPr>
              <w:pStyle w:val="Compact"/>
              <w:jc w:val="center"/>
            </w:pPr>
            <w:r>
              <w:drawing>
                <wp:inline>
                  <wp:extent cx="5943600" cy="8410943"/>
                  <wp:effectExtent b="0" l="0" r="0" t="0"/>
                  <wp:docPr descr="" title="" id="137" name="Picture"/>
                  <a:graphic>
                    <a:graphicData uri="http://schemas.openxmlformats.org/drawingml/2006/picture">
                      <pic:pic>
                        <pic:nvPicPr>
                          <pic:cNvPr descr="2.Chapter/Figures/F3_regress.pdf" id="138" name="Picture"/>
                          <pic:cNvPicPr>
                            <a:picLocks noChangeArrowheads="1" noChangeAspect="1"/>
                          </pic:cNvPicPr>
                        </pic:nvPicPr>
                        <pic:blipFill>
                          <a:blip r:embed="rId136"/>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39"/>
        </w:tc>
      </w:tr>
    </w:tbl>
    <w:bookmarkEnd w:id="140"/>
    <w:bookmarkStart w:id="145"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2">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4" w:name="fig-2.4"/>
          <w:p>
            <w:pPr>
              <w:pStyle w:val="Compact"/>
              <w:jc w:val="center"/>
            </w:pPr>
            <w:r>
              <w:drawing>
                <wp:inline>
                  <wp:extent cx="5943600" cy="8410943"/>
                  <wp:effectExtent b="0" l="0" r="0" t="0"/>
                  <wp:docPr descr="" title="" id="142" name="Picture"/>
                  <a:graphic>
                    <a:graphicData uri="http://schemas.openxmlformats.org/drawingml/2006/picture">
                      <pic:pic>
                        <pic:nvPicPr>
                          <pic:cNvPr descr="2.Chapter/Figures/F4_comorb.pdf" id="143" name="Picture"/>
                          <pic:cNvPicPr>
                            <a:picLocks noChangeArrowheads="1" noChangeAspect="1"/>
                          </pic:cNvPicPr>
                        </pic:nvPicPr>
                        <pic:blipFill>
                          <a:blip r:embed="rId14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4"/>
        </w:tc>
      </w:tr>
    </w:tbl>
    <w:bookmarkEnd w:id="145"/>
    <w:bookmarkStart w:id="149" w:name="follow-up-analyses"/>
    <w:p>
      <w:pPr>
        <w:pStyle w:val="Heading3"/>
      </w:pPr>
      <w:r>
        <w:t xml:space="preserve">Follow-up analyses</w:t>
      </w:r>
    </w:p>
    <w:bookmarkStart w:id="146"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09">
        <w:r>
          <w:rPr>
            <w:rStyle w:val="Hyperlink"/>
            <w:i/>
            <w:iCs/>
          </w:rPr>
          <w:t xml:space="preserve">Figures S2-S4</w:t>
        </w:r>
      </w:hyperlink>
      <w:r>
        <w:t xml:space="preserve"> </w:t>
      </w:r>
      <w:r>
        <w:t xml:space="preserve">and</w:t>
      </w:r>
      <w:r>
        <w:t xml:space="preserve"> </w:t>
      </w:r>
      <w:hyperlink r:id="rId122">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09">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2">
        <w:r>
          <w:rPr>
            <w:rStyle w:val="Hyperlink"/>
            <w:i/>
            <w:iCs/>
          </w:rPr>
          <w:t xml:space="preserve">Table S10</w:t>
        </w:r>
      </w:hyperlink>
      <w:r>
        <w:t xml:space="preserve"> </w:t>
      </w:r>
      <w:r>
        <w:t xml:space="preserve">and</w:t>
      </w:r>
      <w:r>
        <w:t xml:space="preserve"> </w:t>
      </w:r>
      <w:hyperlink r:id="rId109">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6"/>
    <w:bookmarkStart w:id="147"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09">
        <w:r>
          <w:rPr>
            <w:rStyle w:val="Hyperlink"/>
            <w:i/>
            <w:iCs/>
          </w:rPr>
          <w:t xml:space="preserve">Figure S6</w:t>
        </w:r>
      </w:hyperlink>
      <w:r>
        <w:t xml:space="preserve"> </w:t>
      </w:r>
      <w:r>
        <w:t xml:space="preserve">and</w:t>
      </w:r>
      <w:r>
        <w:t xml:space="preserve"> </w:t>
      </w:r>
      <w:hyperlink r:id="rId122">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09">
        <w:r>
          <w:rPr>
            <w:rStyle w:val="Hyperlink"/>
            <w:i/>
            <w:iCs/>
          </w:rPr>
          <w:t xml:space="preserve">Figure S7</w:t>
        </w:r>
      </w:hyperlink>
      <w:r>
        <w:t xml:space="preserve"> </w:t>
      </w:r>
      <w:r>
        <w:t xml:space="preserve">and</w:t>
      </w:r>
      <w:r>
        <w:t xml:space="preserve"> </w:t>
      </w:r>
      <w:hyperlink r:id="rId122">
        <w:r>
          <w:rPr>
            <w:rStyle w:val="Hyperlink"/>
            <w:i/>
            <w:iCs/>
          </w:rPr>
          <w:t xml:space="preserve">Table S12</w:t>
        </w:r>
      </w:hyperlink>
      <w:r>
        <w:t xml:space="preserve">, available online).</w:t>
      </w:r>
    </w:p>
    <w:bookmarkEnd w:id="147"/>
    <w:bookmarkStart w:id="148"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09">
        <w:r>
          <w:rPr>
            <w:rStyle w:val="Hyperlink"/>
            <w:i/>
            <w:iCs/>
          </w:rPr>
          <w:t xml:space="preserve">Figure S8</w:t>
        </w:r>
      </w:hyperlink>
      <w:r>
        <w:t xml:space="preserve"> </w:t>
      </w:r>
      <w:r>
        <w:t xml:space="preserve">and</w:t>
      </w:r>
      <w:r>
        <w:t xml:space="preserve"> </w:t>
      </w:r>
      <w:hyperlink r:id="rId122">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09">
        <w:r>
          <w:rPr>
            <w:rStyle w:val="Hyperlink"/>
            <w:i/>
            <w:iCs/>
          </w:rPr>
          <w:t xml:space="preserve">Figure S9</w:t>
        </w:r>
      </w:hyperlink>
      <w:r>
        <w:t xml:space="preserve"> </w:t>
      </w:r>
      <w:r>
        <w:t xml:space="preserve">and</w:t>
      </w:r>
      <w:r>
        <w:t xml:space="preserve"> </w:t>
      </w:r>
      <w:hyperlink r:id="rId122">
        <w:r>
          <w:rPr>
            <w:rStyle w:val="Hyperlink"/>
            <w:i/>
            <w:iCs/>
          </w:rPr>
          <w:t xml:space="preserve">Table S16</w:t>
        </w:r>
      </w:hyperlink>
      <w:r>
        <w:t xml:space="preserve">, available online). None of the main conclusions was impacted by FDR correction.</w:t>
      </w:r>
    </w:p>
    <w:bookmarkEnd w:id="148"/>
    <w:bookmarkEnd w:id="149"/>
    <w:bookmarkEnd w:id="150"/>
    <w:bookmarkStart w:id="151"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1"/>
    <w:bookmarkStart w:id="226" w:name="references-1"/>
    <w:p>
      <w:pPr>
        <w:pStyle w:val="Heading2"/>
      </w:pPr>
      <w:r>
        <w:t xml:space="preserve">References</w:t>
      </w:r>
    </w:p>
    <w:bookmarkStart w:id="225" w:name="refs--2"/>
    <w:bookmarkStart w:id="152"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2"/>
    <w:bookmarkStart w:id="153"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3"/>
    <w:bookmarkStart w:id="154"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4"/>
    <w:bookmarkStart w:id="155"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5"/>
    <w:bookmarkStart w:id="157"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157"/>
    <w:bookmarkStart w:id="159"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159"/>
    <w:bookmarkStart w:id="161"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161"/>
    <w:bookmarkStart w:id="163"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163"/>
    <w:bookmarkStart w:id="165"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165"/>
    <w:bookmarkStart w:id="167"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167"/>
    <w:bookmarkStart w:id="168"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8"/>
    <w:bookmarkStart w:id="17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170"/>
    <w:bookmarkStart w:id="172"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172"/>
    <w:bookmarkStart w:id="174"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174"/>
    <w:bookmarkStart w:id="176"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176"/>
    <w:bookmarkStart w:id="178"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178"/>
    <w:bookmarkStart w:id="180"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180"/>
    <w:bookmarkStart w:id="181"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1"/>
    <w:bookmarkStart w:id="18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183"/>
    <w:bookmarkStart w:id="185"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185"/>
    <w:bookmarkStart w:id="187"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187"/>
    <w:bookmarkStart w:id="189"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189"/>
    <w:bookmarkStart w:id="191"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191"/>
    <w:bookmarkStart w:id="193"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193"/>
    <w:bookmarkStart w:id="19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4"/>
    <w:bookmarkStart w:id="196"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196"/>
    <w:bookmarkStart w:id="19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7"/>
    <w:bookmarkStart w:id="19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199"/>
    <w:bookmarkStart w:id="20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201"/>
    <w:bookmarkStart w:id="202"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2"/>
    <w:bookmarkStart w:id="20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204"/>
    <w:bookmarkStart w:id="206"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206"/>
    <w:bookmarkStart w:id="208"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208"/>
    <w:bookmarkStart w:id="210"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210"/>
    <w:bookmarkStart w:id="212"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212"/>
    <w:bookmarkStart w:id="214"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214"/>
    <w:bookmarkStart w:id="216"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216"/>
    <w:bookmarkStart w:id="218"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218"/>
    <w:bookmarkStart w:id="220"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220"/>
    <w:bookmarkStart w:id="222"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222"/>
    <w:bookmarkStart w:id="224"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224"/>
    <w:bookmarkEnd w:id="225"/>
    <w:bookmarkEnd w:id="226"/>
    <w:bookmarkEnd w:id="227"/>
    <w:bookmarkStart w:id="378"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8">
        <w:r>
          <w:rPr>
            <w:rStyle w:val="Hyperlink"/>
          </w:rPr>
          <w:t xml:space="preserve">DOI</w:t>
        </w:r>
      </w:hyperlink>
    </w:p>
    <w:bookmarkStart w:id="229"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29"/>
    <w:bookmarkStart w:id="239"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1" name="Picture"/>
            <a:graphic>
              <a:graphicData uri="http://schemas.openxmlformats.org/drawingml/2006/picture">
                <pic:pic>
                  <pic:nvPicPr>
                    <pic:cNvPr descr="3.Chapter/../img/qrcode_supp3.png" id="232" name="Picture"/>
                    <pic:cNvPicPr>
                      <a:picLocks noChangeArrowheads="1" noChangeAspect="1"/>
                    </pic:cNvPicPr>
                  </pic:nvPicPr>
                  <pic:blipFill>
                    <a:blip r:embed="rId23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4" name="Picture"/>
            <a:graphic>
              <a:graphicData uri="http://schemas.openxmlformats.org/drawingml/2006/picture">
                <pic:pic>
                  <pic:nvPicPr>
                    <pic:cNvPr descr="3.Chapter/../img/qrcode_chap3_repo.png" id="235" name="Picture"/>
                    <pic:cNvPicPr>
                      <a:picLocks noChangeArrowheads="1" noChangeAspect="1"/>
                    </pic:cNvPicPr>
                  </pic:nvPicPr>
                  <pic:blipFill>
                    <a:blip r:embed="rId23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7" name="Picture"/>
            <a:graphic>
              <a:graphicData uri="http://schemas.openxmlformats.org/drawingml/2006/picture">
                <pic:pic>
                  <pic:nvPicPr>
                    <pic:cNvPr descr="3.Chapter/../img/qrcode_els_repo.png" id="238" name="Picture"/>
                    <pic:cNvPicPr>
                      <a:picLocks noChangeArrowheads="1" noChangeAspect="1"/>
                    </pic:cNvPicPr>
                  </pic:nvPicPr>
                  <pic:blipFill>
                    <a:blip r:embed="rId236"/>
                    <a:stretch>
                      <a:fillRect/>
                    </a:stretch>
                  </pic:blipFill>
                  <pic:spPr bwMode="auto">
                    <a:xfrm>
                      <a:off x="0" y="0"/>
                      <a:ext cx="1188720" cy="1188720"/>
                    </a:xfrm>
                    <a:prstGeom prst="rect">
                      <a:avLst/>
                    </a:prstGeom>
                    <a:noFill/>
                    <a:ln w="9525">
                      <a:noFill/>
                      <a:headEnd/>
                      <a:tailEnd/>
                    </a:ln>
                  </pic:spPr>
                </pic:pic>
              </a:graphicData>
            </a:graphic>
          </wp:inline>
        </w:drawing>
      </w:r>
    </w:p>
    <w:bookmarkEnd w:id="239"/>
    <w:bookmarkStart w:id="240"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0"/>
    <w:bookmarkStart w:id="241"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1"/>
    <w:bookmarkStart w:id="243"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2"/>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3"/>
    <w:bookmarkStart w:id="259"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5"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4">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5"/>
    <w:bookmarkStart w:id="253" w:name="measures-1"/>
    <w:p>
      <w:pPr>
        <w:pStyle w:val="Heading3"/>
      </w:pPr>
      <w:r>
        <w:t xml:space="preserve">Measures</w:t>
      </w:r>
    </w:p>
    <w:bookmarkStart w:id="246"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0">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6"/>
    <w:bookmarkStart w:id="247"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09">
        <w:r>
          <w:rPr>
            <w:rStyle w:val="Hyperlink"/>
            <w:i/>
            <w:iCs/>
          </w:rPr>
          <w:t xml:space="preserve">Supplement 2</w:t>
        </w:r>
      </w:hyperlink>
      <w:r>
        <w:t xml:space="preserve"> </w:t>
      </w:r>
      <w:r>
        <w:t xml:space="preserve">in</w:t>
      </w:r>
      <w:r>
        <w:t xml:space="preserve"> </w:t>
      </w:r>
      <w:r>
        <w:t xml:space="preserve">Defina et al. (2023)</w:t>
      </w:r>
      <w:r>
        <w:t xml:space="preserve">).</w:t>
      </w:r>
    </w:p>
    <w:bookmarkEnd w:id="247"/>
    <w:bookmarkStart w:id="252"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4">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1" w:name="fig-3.1"/>
          <w:p>
            <w:pPr>
              <w:pStyle w:val="Compact"/>
              <w:jc w:val="center"/>
            </w:pPr>
            <w:r>
              <w:drawing>
                <wp:inline>
                  <wp:extent cx="5943600" cy="3566160"/>
                  <wp:effectExtent b="0" l="0" r="0" t="0"/>
                  <wp:docPr descr="" title="" id="249" name="Picture"/>
                  <a:graphic>
                    <a:graphicData uri="http://schemas.openxmlformats.org/drawingml/2006/picture">
                      <pic:pic>
                        <pic:nvPicPr>
                          <pic:cNvPr descr="3.Chapter/Figures/F1_moddesc.png" id="250" name="Picture"/>
                          <pic:cNvPicPr>
                            <a:picLocks noChangeArrowheads="1" noChangeAspect="1"/>
                          </pic:cNvPicPr>
                        </pic:nvPicPr>
                        <pic:blipFill>
                          <a:blip r:embed="rId24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1"/>
        </w:tc>
      </w:tr>
    </w:tbl>
    <w:bookmarkEnd w:id="252"/>
    <w:bookmarkEnd w:id="253"/>
    <w:bookmarkStart w:id="258"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4">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4">
        <w:r>
          <w:rPr>
            <w:rStyle w:val="Hyperlink"/>
            <w:i/>
            <w:iCs/>
          </w:rPr>
          <w:t xml:space="preserve">Supplementary Text S3</w:t>
        </w:r>
      </w:hyperlink>
      <w:r>
        <w:t xml:space="preserve"> </w:t>
      </w:r>
      <w:r>
        <w:t xml:space="preserve">and</w:t>
      </w:r>
      <w:r>
        <w:t xml:space="preserve"> </w:t>
      </w:r>
      <w:hyperlink r:id="rId255">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6"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6"/>
    <w:bookmarkStart w:id="257"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Compact"/>
        <w:numPr>
          <w:ilvl w:val="0"/>
          <w:numId w:val="1001"/>
        </w:numPr>
      </w:pPr>
      <w:r>
        <w:t xml:space="preserve">Feature</w:t>
      </w:r>
      <w:r>
        <w:t xml:space="preserve"> </w:t>
      </w:r>
      <w:r>
        <w:rPr>
          <w:i/>
          <w:iCs/>
        </w:rPr>
        <w:t xml:space="preserve">(i)</w:t>
      </w:r>
      <w:r>
        <w:t xml:space="preserve"> </w:t>
      </w:r>
      <w:r>
        <w:t xml:space="preserve">internalizing symptoms and</w:t>
      </w:r>
      <w:r>
        <w:t xml:space="preserve"> </w:t>
      </w:r>
      <w:r>
        <w:rPr>
          <w:i/>
          <w:iCs/>
        </w:rPr>
        <w:t xml:space="preserve">(ii)</w:t>
      </w:r>
      <w:r>
        <w:t xml:space="preserve"> </w:t>
      </w:r>
      <w:r>
        <w:t xml:space="preserve">adiposity (rather than their comorbidity) as dependent variables (i.e., in two separate linear regression models);</w:t>
      </w:r>
    </w:p>
    <w:p>
      <w:pPr>
        <w:pStyle w:val="Compact"/>
        <w:numPr>
          <w:ilvl w:val="0"/>
          <w:numId w:val="1001"/>
        </w:numPr>
      </w:pPr>
      <w:r>
        <w:t xml:space="preserve">Examine pre-/postnatal ELS (rather than the total ELS score) as main stress exposure;</w:t>
      </w:r>
    </w:p>
    <w:p>
      <w:pPr>
        <w:pStyle w:val="Compact"/>
        <w:numPr>
          <w:ilvl w:val="0"/>
          <w:numId w:val="1001"/>
        </w:numPr>
      </w:pPr>
      <w:r>
        <w:t xml:space="preserve">Assess the effect of adhering to international guidelines regarding weekly physical activity, sleep duration and diet, by using a dichotomized version of each moderator.</w:t>
      </w:r>
      <w:r>
        <w:t xml:space="preserve">We dichotomised the physical activity variable according to the WHO recommended guideline for vigorous physical activity of</w:t>
      </w:r>
      <w:r>
        <w:t xml:space="preserve"> </w:t>
      </w:r>
      <w:r>
        <w:t xml:space="preserve">“at least 3 times a week”</w:t>
      </w:r>
      <w:r>
        <w:t xml:space="preserve"> </w:t>
      </w:r>
      <w:r>
        <w:t xml:space="preserve">for children aged 5-17</w:t>
      </w:r>
      <w:r>
        <w:t xml:space="preserve"> </w:t>
      </w:r>
      <w:r>
        <w:t xml:space="preserve">(Bull et al., 2020)</w:t>
      </w:r>
      <w:r>
        <w:t xml:space="preserve">. Applied to available response options in both cohorts, participation in physical activity was deemed</w:t>
      </w:r>
      <w:r>
        <w:t xml:space="preserve"> </w:t>
      </w:r>
      <w:r>
        <w:t xml:space="preserve">“infrequent”</w:t>
      </w:r>
      <w:r>
        <w:t xml:space="preserve"> </w:t>
      </w:r>
      <w:r>
        <w:t xml:space="preserve">(0-3 times a week) or</w:t>
      </w:r>
      <w:r>
        <w:t xml:space="preserve"> </w:t>
      </w:r>
      <w:r>
        <w:t xml:space="preserve">“frequent”</w:t>
      </w:r>
      <w:r>
        <w:t xml:space="preserve"> </w:t>
      </w:r>
      <w:r>
        <w:t xml:space="preserve">(4+ times a week). The sleep variable was dichotomized based on the recommendations of the</w:t>
      </w:r>
      <w:r>
        <w:t xml:space="preserve"> </w:t>
      </w:r>
      <w:r>
        <w:t xml:space="preserve">‘American Academy of Sleep Medicine’</w:t>
      </w:r>
      <w:r>
        <w:t xml:space="preserve"> </w:t>
      </w:r>
      <w:r>
        <w:t xml:space="preserve">for children aged 6-12 years</w:t>
      </w:r>
      <w:r>
        <w:t xml:space="preserve"> </w:t>
      </w:r>
      <w:r>
        <w:t xml:space="preserve">(Paruthi et al., 2016)</w:t>
      </w:r>
      <w:r>
        <w:t xml:space="preserve">. Children who slept between 9-12 hours were categorised as sleeping a</w:t>
      </w:r>
      <w:r>
        <w:t xml:space="preserve"> </w:t>
      </w:r>
      <w:r>
        <w:t xml:space="preserve">“recommended”</w:t>
      </w:r>
      <w:r>
        <w:t xml:space="preserve"> </w:t>
      </w:r>
      <w:r>
        <w:t xml:space="preserve">duration, in comparison to</w:t>
      </w:r>
      <w:r>
        <w:t xml:space="preserve"> </w:t>
      </w:r>
      <w:r>
        <w:t xml:space="preserve">“insufficient/excessive”</w:t>
      </w:r>
      <w:r>
        <w:t xml:space="preserve"> </w:t>
      </w:r>
      <w:r>
        <w:t xml:space="preserve">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7"/>
    <w:bookmarkEnd w:id="258"/>
    <w:bookmarkEnd w:id="259"/>
    <w:bookmarkStart w:id="272" w:name="results-1"/>
    <w:p>
      <w:pPr>
        <w:pStyle w:val="Heading2"/>
      </w:pPr>
      <w:r>
        <w:t xml:space="preserve">3.3 Results</w:t>
      </w:r>
    </w:p>
    <w:bookmarkStart w:id="261"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hyperlink w:anchor="fig-3.1">
        <w:r>
          <w:rPr>
            <w:rStyle w:val="Hyperlink"/>
          </w:rPr>
          <w:t xml:space="preserve">Figure 3.1</w:t>
        </w:r>
      </w:hyperlink>
      <w:r>
        <w:t xml:space="preserve">. The proportion of children categorized as comorbid was small (2.9% in ALSPAC and 5.1% in GenR), as also reflected by the weak correlations between internalizing scores and adiposity (r = ALSPAC: 0.10; GenR: 0.12; see</w:t>
      </w:r>
      <w:r>
        <w:t xml:space="preserve"> </w:t>
      </w:r>
      <w:hyperlink r:id="rId255">
        <w:r>
          <w:rPr>
            <w:rStyle w:val="Hyperlink"/>
            <w:i/>
            <w:iCs/>
          </w:rPr>
          <w:t xml:space="preserve">Supplementary Table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tbl-3.1"/>
          <w:p>
            <w:pPr>
              <w:jc w:val="center"/>
            </w:pPr>
            <w:pPr>
              <w:jc w:val="start"/>
              <w:spacing w:before="200"/>
              <w:pStyle w:val="ImageCaption"/>
            </w:pPr>
            <w:r>
              <w:t xml:space="preserve">Table 3.1</w:t>
            </w:r>
          </w:p>
          <w:tbl>
            <w:tblPr>
              <w:tblStyle w:val="Table"/>
              <w:tblW w:type="auto" w:w="0"/>
              <w:tblLook w:firstRow="1" w:lastRow="1" w:firstColumn="0" w:lastColumn="0" w:noHBand="0" w:noVBand="0" w:val="0020"/>
            </w:tblPr>
            <w:tblGrid>
              <w:gridCol w:w="1584"/>
              <w:gridCol w:w="1584"/>
              <w:gridCol w:w="1584"/>
              <w:gridCol w:w="1584"/>
              <w:gridCol w:w="1584"/>
            </w:tblGrid>
            <w:tr>
              <w:trPr>
                <w:tblHeader w:val="on"/>
              </w:trPr>
              <w:tc>
                <w:tcPr>
                  <w:gridSpan w:val="5"/>
                </w:tcPr>
                <w:p>
                  <w:pPr>
                    <w:pStyle w:val="Compact"/>
                    <w:jc w:val="center"/>
                  </w:pPr>
                  <w:r>
                    <w:rPr>
                      <w:b/>
                      <w:bCs/>
                    </w:rPr>
                    <w:t xml:space="preserve">Sample descriptives</w:t>
                  </w:r>
                  <w:r>
                    <w:br/>
                  </w:r>
                  <w:r>
                    <w:t xml:space="preserve">Generation R (GenR) and ALSPAC cohorts</w:t>
                  </w:r>
                </w:p>
              </w:tc>
            </w:tr>
            <w:tr>
              <w:tc>
                <w:tcPr/>
                <w:p>
                  <w:pPr>
                    <w:pStyle w:val="Compact"/>
                    <w:jc w:val="center"/>
                  </w:pPr>
                  <w:r>
                    <w:t xml:space="preserve"> </w:t>
                  </w:r>
                </w:p>
              </w:tc>
              <w:tc>
                <w:tcPr>
                  <w:gridSpan w:val="2"/>
                </w:tcPr>
                <w:p>
                  <w:pPr>
                    <w:pStyle w:val="Compact"/>
                    <w:jc w:val="center"/>
                    <w:jc w:val="center"/>
                  </w:pPr>
                  <w:r>
                    <w:rPr>
                      <w:b/>
                      <w:bCs/>
                    </w:rPr>
                    <w:t xml:space="preserve">ALSPAC (n=8428)</w:t>
                  </w:r>
                  <w:r>
                    <w:br/>
                  </w:r>
                  <w:r>
                    <w:t xml:space="preserve">mean (range) / n (%)</w:t>
                  </w:r>
                </w:p>
              </w:tc>
              <w:tc>
                <w:tcPr>
                  <w:gridSpan w:val="2"/>
                </w:tcPr>
                <w:p>
                  <w:pPr>
                    <w:pStyle w:val="Compact"/>
                    <w:jc w:val="center"/>
                    <w:jc w:val="center"/>
                  </w:pPr>
                  <w:r>
                    <w:rPr>
                      <w:b/>
                      <w:bCs/>
                    </w:rPr>
                    <w:t xml:space="preserve">Generation R (n=4268)</w:t>
                  </w:r>
                  <w:r>
                    <w:br/>
                  </w:r>
                  <w:r>
                    <w:t xml:space="preserve">mean (range) / n (%)</w:t>
                  </w:r>
                </w:p>
              </w:tc>
            </w:tr>
            <w:tr>
              <w:tc>
                <w:tcPr/>
                <w:p>
                  <w:pPr>
                    <w:pStyle w:val="Compact"/>
                    <w:jc w:val="left"/>
                    <w:jc w:val="center"/>
                  </w:pPr>
                  <w:r>
                    <w:rPr>
                      <w:b/>
                      <w:bCs/>
                    </w:rPr>
                    <w:t xml:space="preserve">Age at outcome</w:t>
                  </w:r>
                </w:p>
              </w:tc>
              <w:tc>
                <w:tcPr>
                  <w:gridSpan w:val="2"/>
                </w:tcPr>
                <w:p>
                  <w:pPr>
                    <w:pStyle w:val="Compact"/>
                    <w:jc w:val="right"/>
                    <w:jc w:val="center"/>
                  </w:pPr>
                  <w:r>
                    <w:t xml:space="preserve">13.49 (12.79-14.96)</w:t>
                  </w:r>
                </w:p>
              </w:tc>
              <w:tc>
                <w:tcPr>
                  <w:gridSpan w:val="2"/>
                </w:tcPr>
                <w:p>
                  <w:pPr>
                    <w:pStyle w:val="Compact"/>
                    <w:jc w:val="right"/>
                    <w:jc w:val="center"/>
                  </w:pPr>
                  <w:r>
                    <w:t xml:space="preserve">13.56 (12.59-16.63)</w:t>
                  </w:r>
                </w:p>
              </w:tc>
            </w:tr>
            <w:tr>
              <w:tc>
                <w:tcPr/>
                <w:p>
                  <w:pPr>
                    <w:pStyle w:val="Compact"/>
                    <w:jc w:val="left"/>
                    <w:jc w:val="center"/>
                  </w:pPr>
                  <w:r>
                    <w:rPr>
                      <w:b/>
                      <w:bCs/>
                    </w:rPr>
                    <w:t xml:space="preserve">Sex</w:t>
                  </w:r>
                </w:p>
              </w:tc>
              <w:tc>
                <w:tcPr/>
                <w:p>
                  <w:pPr>
                    <w:pStyle w:val="Compact"/>
                    <w:jc w:val="center"/>
                    <w:jc w:val="center"/>
                  </w:pPr>
                  <w:r>
                    <w:t xml:space="preserve">Male</w:t>
                  </w:r>
                </w:p>
              </w:tc>
              <w:tc>
                <w:tcPr/>
                <w:p>
                  <w:pPr>
                    <w:pStyle w:val="Compact"/>
                    <w:jc w:val="right"/>
                    <w:jc w:val="center"/>
                  </w:pPr>
                  <w:r>
                    <w:t xml:space="preserve">4370 (51.9)</w:t>
                  </w:r>
                </w:p>
              </w:tc>
              <w:tc>
                <w:tcPr/>
                <w:p>
                  <w:pPr>
                    <w:pStyle w:val="Compact"/>
                    <w:jc w:val="center"/>
                    <w:jc w:val="center"/>
                  </w:pPr>
                  <w:r>
                    <w:t xml:space="preserve">Male</w:t>
                  </w:r>
                </w:p>
              </w:tc>
              <w:tc>
                <w:tcPr/>
                <w:p>
                  <w:pPr>
                    <w:pStyle w:val="Compact"/>
                    <w:jc w:val="right"/>
                    <w:jc w:val="center"/>
                  </w:pPr>
                  <w:r>
                    <w:t xml:space="preserve">2091 (49.0)</w:t>
                  </w:r>
                </w:p>
              </w:tc>
            </w:tr>
            <w:tr>
              <w:tc>
                <w:tcPr/>
                <w:p>
                  <w:pPr>
                    <w:pStyle w:val="Compact"/>
                    <w:jc w:val="left"/>
                    <w:jc w:val="center"/>
                  </w:pPr>
                  <w:r>
                    <w:rPr>
                      <w:b/>
                      <w:bCs/>
                    </w:rPr>
                    <w:t xml:space="preserve">Ethnic background</w:t>
                  </w:r>
                </w:p>
              </w:tc>
              <w:tc>
                <w:tcPr/>
                <w:p>
                  <w:pPr>
                    <w:pStyle w:val="Compact"/>
                    <w:jc w:val="center"/>
                    <w:jc w:val="center"/>
                  </w:pPr>
                  <w:r>
                    <w:t xml:space="preserve">White</w:t>
                  </w:r>
                </w:p>
              </w:tc>
              <w:tc>
                <w:tcPr/>
                <w:p>
                  <w:pPr>
                    <w:pStyle w:val="Compact"/>
                    <w:jc w:val="right"/>
                    <w:jc w:val="center"/>
                  </w:pPr>
                  <w:r>
                    <w:t xml:space="preserve">8103 (96.1)</w:t>
                  </w:r>
                </w:p>
              </w:tc>
              <w:tc>
                <w:tcPr/>
                <w:p>
                  <w:pPr>
                    <w:pStyle w:val="Compact"/>
                    <w:jc w:val="center"/>
                    <w:jc w:val="center"/>
                  </w:pPr>
                  <w:r>
                    <w:t xml:space="preserve">White</w:t>
                  </w:r>
                </w:p>
              </w:tc>
              <w:tc>
                <w:tcPr/>
                <w:p>
                  <w:pPr>
                    <w:pStyle w:val="Compact"/>
                    <w:jc w:val="right"/>
                    <w:jc w:val="center"/>
                  </w:pPr>
                  <w:r>
                    <w:t xml:space="preserve">3061 (71.7)</w:t>
                  </w:r>
                </w:p>
              </w:tc>
            </w:tr>
            <w:tr>
              <w:tc>
                <w:tcPr/>
                <w:p>
                  <w:pPr>
                    <w:pStyle w:val="Compact"/>
                    <w:jc w:val="left"/>
                    <w:jc w:val="center"/>
                  </w:pPr>
                  <w:r>
                    <w:rPr>
                      <w:b/>
                      <w:bCs/>
                    </w:rPr>
                    <w:t xml:space="preserve">Early life stress</w:t>
                  </w:r>
                </w:p>
              </w:tc>
              <w:tc>
                <w:tcPr>
                  <w:gridSpan w:val="2"/>
                </w:tcPr>
                <w:p>
                  <w:pPr>
                    <w:pStyle w:val="Compact"/>
                    <w:jc w:val="right"/>
                    <w:jc w:val="center"/>
                  </w:pPr>
                  <w:r>
                    <w:t xml:space="preserve">3.57 (0.43-18.50)</w:t>
                  </w:r>
                </w:p>
              </w:tc>
              <w:tc>
                <w:tcPr>
                  <w:gridSpan w:val="2"/>
                </w:tcPr>
                <w:p>
                  <w:pPr>
                    <w:pStyle w:val="Compact"/>
                    <w:jc w:val="right"/>
                    <w:jc w:val="center"/>
                  </w:pPr>
                  <w:r>
                    <w:t xml:space="preserve">1.28 (0.00-6.00)</w:t>
                  </w:r>
                </w:p>
              </w:tc>
            </w:tr>
            <w:tr>
              <w:tc>
                <w:tcPr>
                  <w:vMerge w:val="restart"/>
                </w:tcPr>
                <w:p>
                  <w:pPr>
                    <w:jc w:val="left"/>
                    <w:jc w:val="center"/>
                  </w:pPr>
                  <w:r>
                    <w:rPr>
                      <w:b/>
                      <w:bCs/>
                    </w:rPr>
                    <w:t xml:space="preserve">Frequency of participation in physical activity</w:t>
                  </w:r>
                </w:p>
              </w:tc>
              <w:tc>
                <w:tcPr/>
                <w:p>
                  <w:pPr>
                    <w:pStyle w:val="Compact"/>
                    <w:jc w:val="center"/>
                    <w:jc w:val="center"/>
                  </w:pPr>
                  <w:r>
                    <w:t xml:space="preserve">None</w:t>
                  </w:r>
                </w:p>
              </w:tc>
              <w:tc>
                <w:tcPr/>
                <w:p>
                  <w:pPr>
                    <w:pStyle w:val="Compact"/>
                    <w:jc w:val="right"/>
                    <w:jc w:val="center"/>
                  </w:pPr>
                  <w:r>
                    <w:t xml:space="preserve">128 (1.5)</w:t>
                  </w:r>
                </w:p>
              </w:tc>
              <w:tc>
                <w:tcPr/>
                <w:p>
                  <w:pPr>
                    <w:pStyle w:val="Compact"/>
                    <w:jc w:val="center"/>
                    <w:jc w:val="center"/>
                  </w:pPr>
                  <w:r>
                    <w:t xml:space="preserve">None</w:t>
                  </w:r>
                </w:p>
              </w:tc>
              <w:tc>
                <w:tcPr/>
                <w:p>
                  <w:pPr>
                    <w:pStyle w:val="Compact"/>
                    <w:jc w:val="right"/>
                    <w:jc w:val="center"/>
                  </w:pPr>
                  <w:r>
                    <w:t xml:space="preserve">568 (13.3)</w:t>
                  </w:r>
                </w:p>
              </w:tc>
            </w:tr>
            <w:tr>
              <w:tc>
                <w:tcPr>
                  <w:gridSpan w:val="1"/>
                  <w:vMerge w:val="continue"/>
                </w:tcPr>
                <w:p>
                  <w:pPr/>
                </w:p>
              </w:tc>
              <w:tc>
                <w:tcPr/>
                <w:p>
                  <w:pPr>
                    <w:pStyle w:val="Compact"/>
                    <w:jc w:val="center"/>
                    <w:jc w:val="center"/>
                  </w:pPr>
                  <w:r>
                    <w:t xml:space="preserve">&lt;1 week</w:t>
                  </w:r>
                </w:p>
              </w:tc>
              <w:tc>
                <w:tcPr/>
                <w:p>
                  <w:pPr>
                    <w:pStyle w:val="Compact"/>
                    <w:jc w:val="right"/>
                    <w:jc w:val="center"/>
                  </w:pPr>
                  <w:r>
                    <w:t xml:space="preserve">377 (4.5)</w:t>
                  </w:r>
                </w:p>
              </w:tc>
              <w:tc>
                <w:tcPr/>
                <w:p>
                  <w:pPr>
                    <w:pStyle w:val="Compact"/>
                    <w:jc w:val="center"/>
                    <w:jc w:val="center"/>
                  </w:pPr>
                  <w:r>
                    <w:t xml:space="preserve">Once a week</w:t>
                  </w:r>
                </w:p>
              </w:tc>
              <w:tc>
                <w:tcPr/>
                <w:p>
                  <w:pPr>
                    <w:pStyle w:val="Compact"/>
                    <w:jc w:val="right"/>
                    <w:jc w:val="center"/>
                  </w:pPr>
                  <w:r>
                    <w:t xml:space="preserve">626 (14.7)</w:t>
                  </w:r>
                </w:p>
              </w:tc>
            </w:tr>
            <w:tr>
              <w:tc>
                <w:tcPr>
                  <w:gridSpan w:val="1"/>
                  <w:vMerge w:val="continue"/>
                </w:tcPr>
                <w:p>
                  <w:pPr/>
                </w:p>
              </w:tc>
              <w:tc>
                <w:tcPr/>
                <w:p>
                  <w:pPr>
                    <w:pStyle w:val="Compact"/>
                    <w:jc w:val="center"/>
                    <w:jc w:val="center"/>
                  </w:pPr>
                  <w:r>
                    <w:t xml:space="preserve">1-3 week</w:t>
                  </w:r>
                </w:p>
              </w:tc>
              <w:tc>
                <w:tcPr/>
                <w:p>
                  <w:pPr>
                    <w:pStyle w:val="Compact"/>
                    <w:jc w:val="right"/>
                    <w:jc w:val="center"/>
                  </w:pPr>
                  <w:r>
                    <w:t xml:space="preserve">3946 (46.8)</w:t>
                  </w:r>
                </w:p>
              </w:tc>
              <w:tc>
                <w:tcPr/>
                <w:p>
                  <w:pPr>
                    <w:pStyle w:val="Compact"/>
                    <w:jc w:val="center"/>
                    <w:jc w:val="center"/>
                  </w:pPr>
                  <w:r>
                    <w:t xml:space="preserve">Twice a week</w:t>
                  </w:r>
                </w:p>
              </w:tc>
              <w:tc>
                <w:tcPr/>
                <w:p>
                  <w:pPr>
                    <w:pStyle w:val="Compact"/>
                    <w:jc w:val="right"/>
                    <w:jc w:val="center"/>
                  </w:pPr>
                  <w:r>
                    <w:t xml:space="preserve">728 (17.1)</w:t>
                  </w:r>
                </w:p>
              </w:tc>
            </w:tr>
            <w:tr>
              <w:tc>
                <w:tcPr>
                  <w:gridSpan w:val="1"/>
                  <w:vMerge w:val="continue"/>
                </w:tcPr>
                <w:p>
                  <w:pPr/>
                </w:p>
              </w:tc>
              <w:tc>
                <w:tcPr/>
                <w:p>
                  <w:pPr>
                    <w:pStyle w:val="Compact"/>
                    <w:jc w:val="center"/>
                    <w:jc w:val="center"/>
                  </w:pPr>
                  <w:r>
                    <w:t xml:space="preserve">4-6 week</w:t>
                  </w:r>
                </w:p>
              </w:tc>
              <w:tc>
                <w:tcPr/>
                <w:p>
                  <w:pPr>
                    <w:pStyle w:val="Compact"/>
                    <w:jc w:val="right"/>
                    <w:jc w:val="center"/>
                  </w:pPr>
                  <w:r>
                    <w:t xml:space="preserve">2408 (28.6)</w:t>
                  </w:r>
                </w:p>
              </w:tc>
              <w:tc>
                <w:tcPr/>
                <w:p>
                  <w:pPr>
                    <w:pStyle w:val="Compact"/>
                    <w:jc w:val="center"/>
                    <w:jc w:val="center"/>
                  </w:pPr>
                  <w:r>
                    <w:t xml:space="preserve">Three times a week</w:t>
                  </w:r>
                </w:p>
              </w:tc>
              <w:tc>
                <w:tcPr/>
                <w:p>
                  <w:pPr>
                    <w:pStyle w:val="Compact"/>
                    <w:jc w:val="right"/>
                    <w:jc w:val="center"/>
                  </w:pPr>
                  <w:r>
                    <w:t xml:space="preserve">1138 (26.7)</w:t>
                  </w:r>
                </w:p>
              </w:tc>
            </w:tr>
            <w:tr>
              <w:tc>
                <w:tcPr>
                  <w:gridSpan w:val="1"/>
                  <w:vMerge w:val="continue"/>
                </w:tcPr>
                <w:p>
                  <w:pPr/>
                </w:p>
              </w:tc>
              <w:tc>
                <w:tcPr/>
                <w:p>
                  <w:pPr>
                    <w:pStyle w:val="Compact"/>
                    <w:jc w:val="center"/>
                    <w:jc w:val="center"/>
                  </w:pPr>
                  <w:r>
                    <w:t xml:space="preserve">Daily</w:t>
                  </w:r>
                </w:p>
              </w:tc>
              <w:tc>
                <w:tcPr/>
                <w:p>
                  <w:pPr>
                    <w:pStyle w:val="Compact"/>
                    <w:jc w:val="right"/>
                    <w:jc w:val="center"/>
                  </w:pPr>
                  <w:r>
                    <w:t xml:space="preserve">1566 (18.6)</w:t>
                  </w:r>
                </w:p>
              </w:tc>
              <w:tc>
                <w:tcPr/>
                <w:p>
                  <w:pPr>
                    <w:pStyle w:val="Compact"/>
                    <w:jc w:val="center"/>
                    <w:jc w:val="center"/>
                  </w:pPr>
                  <w:r>
                    <w:t xml:space="preserve">Four times a week</w:t>
                  </w:r>
                </w:p>
              </w:tc>
              <w:tc>
                <w:tcPr/>
                <w:p>
                  <w:pPr>
                    <w:pStyle w:val="Compact"/>
                    <w:jc w:val="right"/>
                    <w:jc w:val="center"/>
                  </w:pPr>
                  <w:r>
                    <w:t xml:space="preserve">643 (15.1)</w:t>
                  </w:r>
                </w:p>
              </w:tc>
            </w:tr>
            <w:tr>
              <w:tc>
                <w:tcPr>
                  <w:gridSpan w:val="1"/>
                  <w:vMerge w:val="continue"/>
                </w:tcPr>
                <w:p>
                  <w:pPr/>
                </w:p>
              </w:tc>
              <w:tc>
                <w:tcPr>
                  <w:gridSpan w:val="2"/>
                </w:tcPr>
                <w:p>
                  <w:pPr>
                    <w:pStyle w:val="Compact"/>
                    <w:jc w:val="center"/>
                    <w:jc w:val="center"/>
                  </w:pPr>
                  <w:r>
                    <w:t xml:space="preserve"> </w:t>
                  </w:r>
                </w:p>
              </w:tc>
              <w:tc>
                <w:tcPr/>
                <w:p>
                  <w:pPr>
                    <w:pStyle w:val="Compact"/>
                    <w:jc w:val="center"/>
                    <w:jc w:val="center"/>
                  </w:pPr>
                  <w:r>
                    <w:t xml:space="preserve">5 or more times a week</w:t>
                  </w:r>
                </w:p>
              </w:tc>
              <w:tc>
                <w:tcPr/>
                <w:p>
                  <w:pPr>
                    <w:pStyle w:val="Compact"/>
                    <w:jc w:val="right"/>
                    <w:jc w:val="center"/>
                  </w:pPr>
                  <w:r>
                    <w:t xml:space="preserve">563 (13.2)</w:t>
                  </w:r>
                </w:p>
              </w:tc>
            </w:tr>
            <w:tr>
              <w:tc>
                <w:tcPr/>
                <w:p>
                  <w:pPr>
                    <w:pStyle w:val="Compact"/>
                    <w:jc w:val="left"/>
                    <w:jc w:val="center"/>
                  </w:pPr>
                  <w:r>
                    <w:rPr>
                      <w:b/>
                      <w:bCs/>
                    </w:rPr>
                    <w:t xml:space="preserve">Sleep duration (hours)</w:t>
                  </w:r>
                </w:p>
              </w:tc>
              <w:tc>
                <w:tcPr>
                  <w:gridSpan w:val="2"/>
                </w:tcPr>
                <w:p>
                  <w:pPr>
                    <w:pStyle w:val="Compact"/>
                    <w:jc w:val="right"/>
                    <w:jc w:val="center"/>
                  </w:pPr>
                  <w:r>
                    <w:t xml:space="preserve">9.81 (6.00-13.00)</w:t>
                  </w:r>
                </w:p>
              </w:tc>
              <w:tc>
                <w:tcPr>
                  <w:gridSpan w:val="2"/>
                </w:tcPr>
                <w:p>
                  <w:pPr>
                    <w:pStyle w:val="Compact"/>
                    <w:jc w:val="right"/>
                    <w:jc w:val="center"/>
                  </w:pPr>
                  <w:r>
                    <w:t xml:space="preserve">8.99 (6.00-12.00)</w:t>
                  </w:r>
                </w:p>
              </w:tc>
            </w:tr>
            <w:tr>
              <w:tc>
                <w:tcPr/>
                <w:p>
                  <w:pPr>
                    <w:pStyle w:val="Compact"/>
                    <w:jc w:val="left"/>
                    <w:jc w:val="center"/>
                  </w:pPr>
                  <w:r>
                    <w:rPr>
                      <w:b/>
                      <w:bCs/>
                    </w:rPr>
                    <w:t xml:space="preserve">Mediterranean diet score</w:t>
                  </w:r>
                </w:p>
              </w:tc>
              <w:tc>
                <w:tcPr>
                  <w:gridSpan w:val="2"/>
                </w:tcPr>
                <w:p>
                  <w:pPr>
                    <w:pStyle w:val="Compact"/>
                    <w:jc w:val="right"/>
                    <w:jc w:val="center"/>
                  </w:pPr>
                  <w:r>
                    <w:t xml:space="preserve">3.24 (0.00-7.00)</w:t>
                  </w:r>
                </w:p>
              </w:tc>
              <w:tc>
                <w:tcPr>
                  <w:gridSpan w:val="2"/>
                </w:tcPr>
                <w:p>
                  <w:pPr>
                    <w:pStyle w:val="Compact"/>
                    <w:jc w:val="right"/>
                    <w:jc w:val="center"/>
                  </w:pPr>
                  <w:r>
                    <w:t xml:space="preserve">3.83 (0.00-7.00)</w:t>
                  </w:r>
                </w:p>
              </w:tc>
            </w:tr>
            <w:tr>
              <w:tc>
                <w:tcPr/>
                <w:p>
                  <w:pPr>
                    <w:pStyle w:val="Compact"/>
                    <w:jc w:val="left"/>
                    <w:jc w:val="center"/>
                  </w:pPr>
                  <w:r>
                    <w:rPr>
                      <w:b/>
                      <w:bCs/>
                    </w:rPr>
                    <w:t xml:space="preserve">Internalizing symptoms</w:t>
                  </w:r>
                </w:p>
              </w:tc>
              <w:tc>
                <w:tcPr>
                  <w:gridSpan w:val="2"/>
                </w:tcPr>
                <w:p>
                  <w:pPr>
                    <w:pStyle w:val="Compact"/>
                    <w:jc w:val="right"/>
                    <w:jc w:val="center"/>
                  </w:pPr>
                  <w:r>
                    <w:t xml:space="preserve">1.43 (0.00-10.00)</w:t>
                  </w:r>
                </w:p>
              </w:tc>
              <w:tc>
                <w:tcPr>
                  <w:gridSpan w:val="2"/>
                </w:tcPr>
                <w:p>
                  <w:pPr>
                    <w:pStyle w:val="Compact"/>
                    <w:jc w:val="right"/>
                    <w:jc w:val="center"/>
                  </w:pPr>
                  <w:r>
                    <w:t xml:space="preserve">5.75 (0.00-41.00)</w:t>
                  </w:r>
                </w:p>
              </w:tc>
            </w:tr>
            <w:tr>
              <w:tc>
                <w:tcPr/>
                <w:p>
                  <w:pPr>
                    <w:pStyle w:val="Compact"/>
                    <w:jc w:val="left"/>
                    <w:jc w:val="center"/>
                  </w:pPr>
                  <w:r>
                    <w:rPr>
                      <w:b/>
                      <w:bCs/>
                    </w:rPr>
                    <w:t xml:space="preserve">Fat mass percentage</w:t>
                  </w:r>
                </w:p>
              </w:tc>
              <w:tc>
                <w:tcPr>
                  <w:gridSpan w:val="2"/>
                </w:tcPr>
                <w:p>
                  <w:pPr>
                    <w:pStyle w:val="Compact"/>
                    <w:jc w:val="right"/>
                    <w:jc w:val="center"/>
                  </w:pPr>
                  <w:r>
                    <w:t xml:space="preserve">24.36 (4.92-56.25)</w:t>
                  </w:r>
                </w:p>
              </w:tc>
              <w:tc>
                <w:tcPr>
                  <w:gridSpan w:val="2"/>
                </w:tcPr>
                <w:p>
                  <w:pPr>
                    <w:pStyle w:val="Compact"/>
                    <w:jc w:val="right"/>
                    <w:jc w:val="center"/>
                  </w:pPr>
                  <w:r>
                    <w:t xml:space="preserve">25.53 (8.49-54.62)</w:t>
                  </w:r>
                </w:p>
              </w:tc>
            </w:tr>
            <w:tr>
              <w:tc>
                <w:tcPr>
                  <w:vMerge w:val="restart"/>
                </w:tcPr>
                <w:p>
                  <w:pPr>
                    <w:pStyle w:val="Compact"/>
                    <w:jc w:val="left"/>
                    <w:jc w:val="center"/>
                  </w:pPr>
                  <w:r>
                    <w:rPr>
                      <w:b/>
                      <w:bCs/>
                    </w:rPr>
                    <w:t xml:space="preserve">Comorbidity risk group</w:t>
                  </w:r>
                </w:p>
              </w:tc>
              <w:tc>
                <w:tcPr/>
                <w:p>
                  <w:pPr>
                    <w:pStyle w:val="Compact"/>
                    <w:jc w:val="center"/>
                    <w:jc w:val="center"/>
                  </w:pPr>
                  <w:r>
                    <w:t xml:space="preserve">Healthy</w:t>
                  </w:r>
                </w:p>
              </w:tc>
              <w:tc>
                <w:tcPr/>
                <w:p>
                  <w:pPr>
                    <w:pStyle w:val="Compact"/>
                    <w:jc w:val="right"/>
                    <w:jc w:val="center"/>
                  </w:pPr>
                  <w:r>
                    <w:t xml:space="preserve">5916 (70.2)</w:t>
                  </w:r>
                </w:p>
              </w:tc>
              <w:tc>
                <w:tcPr/>
                <w:p>
                  <w:pPr>
                    <w:pStyle w:val="Compact"/>
                    <w:jc w:val="center"/>
                    <w:jc w:val="center"/>
                  </w:pPr>
                  <w:r>
                    <w:t xml:space="preserve">Healthy</w:t>
                  </w:r>
                </w:p>
              </w:tc>
              <w:tc>
                <w:tcPr/>
                <w:p>
                  <w:pPr>
                    <w:pStyle w:val="Compact"/>
                    <w:jc w:val="right"/>
                    <w:jc w:val="center"/>
                  </w:pPr>
                  <w:r>
                    <w:t xml:space="preserve">2789 (65.4)</w:t>
                  </w:r>
                </w:p>
              </w:tc>
            </w:tr>
            <w:tr>
              <w:tc>
                <w:tcPr>
                  <w:gridSpan w:val="1"/>
                  <w:vMerge w:val="continue"/>
                </w:tcPr>
                <w:p>
                  <w:pPr/>
                </w:p>
              </w:tc>
              <w:tc>
                <w:tcPr/>
                <w:p>
                  <w:pPr>
                    <w:pStyle w:val="Compact"/>
                    <w:jc w:val="center"/>
                    <w:jc w:val="center"/>
                  </w:pPr>
                  <w:r>
                    <w:t xml:space="preserve">High internalizing</w:t>
                  </w:r>
                </w:p>
              </w:tc>
              <w:tc>
                <w:tcPr/>
                <w:p>
                  <w:pPr>
                    <w:pStyle w:val="Compact"/>
                    <w:jc w:val="right"/>
                    <w:jc w:val="center"/>
                  </w:pPr>
                  <w:r>
                    <w:t xml:space="preserve">795 (9.4)</w:t>
                  </w:r>
                </w:p>
              </w:tc>
              <w:tc>
                <w:tcPr/>
                <w:p>
                  <w:pPr>
                    <w:pStyle w:val="Compact"/>
                    <w:jc w:val="center"/>
                    <w:jc w:val="center"/>
                  </w:pPr>
                  <w:r>
                    <w:t xml:space="preserve">High internalizing</w:t>
                  </w:r>
                </w:p>
              </w:tc>
              <w:tc>
                <w:tcPr/>
                <w:p>
                  <w:pPr>
                    <w:pStyle w:val="Compact"/>
                    <w:jc w:val="right"/>
                    <w:jc w:val="center"/>
                  </w:pPr>
                  <w:r>
                    <w:t xml:space="preserve">622 (14.6)</w:t>
                  </w:r>
                </w:p>
              </w:tc>
            </w:tr>
            <w:tr>
              <w:tc>
                <w:tcPr>
                  <w:gridSpan w:val="1"/>
                  <w:vMerge w:val="continue"/>
                </w:tcPr>
                <w:p>
                  <w:pPr/>
                </w:p>
              </w:tc>
              <w:tc>
                <w:tcPr/>
                <w:p>
                  <w:pPr>
                    <w:pStyle w:val="Compact"/>
                    <w:jc w:val="center"/>
                    <w:jc w:val="center"/>
                  </w:pPr>
                  <w:r>
                    <w:t xml:space="preserve">High adiposity</w:t>
                  </w:r>
                </w:p>
              </w:tc>
              <w:tc>
                <w:tcPr/>
                <w:p>
                  <w:pPr>
                    <w:pStyle w:val="Compact"/>
                    <w:jc w:val="right"/>
                    <w:jc w:val="center"/>
                  </w:pPr>
                  <w:r>
                    <w:t xml:space="preserve">1476 (17.5)</w:t>
                  </w:r>
                </w:p>
              </w:tc>
              <w:tc>
                <w:tcPr/>
                <w:p>
                  <w:pPr>
                    <w:pStyle w:val="Compact"/>
                    <w:jc w:val="center"/>
                    <w:jc w:val="center"/>
                  </w:pPr>
                  <w:r>
                    <w:t xml:space="preserve">High adiposity</w:t>
                  </w:r>
                </w:p>
              </w:tc>
              <w:tc>
                <w:tcPr/>
                <w:p>
                  <w:pPr>
                    <w:pStyle w:val="Compact"/>
                    <w:jc w:val="right"/>
                    <w:jc w:val="center"/>
                  </w:pPr>
                  <w:r>
                    <w:t xml:space="preserve">637 (14.9)</w:t>
                  </w:r>
                </w:p>
              </w:tc>
            </w:tr>
            <w:tr>
              <w:tc>
                <w:tcPr>
                  <w:gridSpan w:val="1"/>
                  <w:vMerge w:val="continue"/>
                </w:tcPr>
                <w:p>
                  <w:pPr/>
                </w:p>
              </w:tc>
              <w:tc>
                <w:tcPr/>
                <w:p>
                  <w:pPr>
                    <w:pStyle w:val="Compact"/>
                    <w:jc w:val="center"/>
                    <w:jc w:val="center"/>
                  </w:pPr>
                  <w:r>
                    <w:t xml:space="preserve">Comorbidity</w:t>
                  </w:r>
                </w:p>
              </w:tc>
              <w:tc>
                <w:tcPr/>
                <w:p>
                  <w:pPr>
                    <w:pStyle w:val="Compact"/>
                    <w:jc w:val="right"/>
                    <w:jc w:val="center"/>
                  </w:pPr>
                  <w:r>
                    <w:t xml:space="preserve">241 (2.9)</w:t>
                  </w:r>
                </w:p>
              </w:tc>
              <w:tc>
                <w:tcPr/>
                <w:p>
                  <w:pPr>
                    <w:pStyle w:val="Compact"/>
                    <w:jc w:val="center"/>
                    <w:jc w:val="center"/>
                  </w:pPr>
                  <w:r>
                    <w:t xml:space="preserve">Comorbidity</w:t>
                  </w:r>
                </w:p>
              </w:tc>
              <w:tc>
                <w:tcPr/>
                <w:p>
                  <w:pPr>
                    <w:pStyle w:val="Compact"/>
                    <w:jc w:val="right"/>
                    <w:jc w:val="center"/>
                  </w:pPr>
                  <w:r>
                    <w:t xml:space="preserve">219 (5.1)</w:t>
                  </w:r>
                </w:p>
              </w:tc>
            </w:tr>
            <w:tr>
              <w:tc>
                <w:tcPr/>
                <w:p>
                  <w:pPr>
                    <w:pStyle w:val="Compact"/>
                    <w:jc w:val="left"/>
                    <w:jc w:val="center"/>
                  </w:pPr>
                  <w:r>
                    <w:rPr>
                      <w:b/>
                      <w:bCs/>
                    </w:rPr>
                    <w:t xml:space="preserve">Maternal BMI (kg/m</w:t>
                  </w:r>
                  <w:r>
                    <w:rPr>
                      <w:b/>
                      <w:bCs/>
                      <w:vertAlign w:val="superscript"/>
                    </w:rPr>
                    <w:t xml:space="preserve">2</w:t>
                  </w:r>
                  <w:r>
                    <w:rPr>
                      <w:b/>
                      <w:bCs/>
                    </w:rPr>
                    <w:t xml:space="preserve">)</w:t>
                  </w:r>
                </w:p>
              </w:tc>
              <w:tc>
                <w:tcPr>
                  <w:gridSpan w:val="2"/>
                </w:tcPr>
                <w:p>
                  <w:pPr>
                    <w:pStyle w:val="Compact"/>
                    <w:jc w:val="right"/>
                    <w:jc w:val="center"/>
                  </w:pPr>
                  <w:r>
                    <w:t xml:space="preserve">22.79 (12.49-48.62)</w:t>
                  </w:r>
                </w:p>
              </w:tc>
              <w:tc>
                <w:tcPr>
                  <w:gridSpan w:val="2"/>
                </w:tcPr>
                <w:p>
                  <w:pPr>
                    <w:pStyle w:val="Compact"/>
                    <w:jc w:val="right"/>
                    <w:jc w:val="center"/>
                  </w:pPr>
                  <w:r>
                    <w:t xml:space="preserve">23.46 (14.38-50.21)</w:t>
                  </w:r>
                </w:p>
              </w:tc>
            </w:tr>
            <w:tr>
              <w:tc>
                <w:tcPr>
                  <w:vMerge w:val="restart"/>
                </w:tcPr>
                <w:p>
                  <w:pPr>
                    <w:pStyle w:val="Compact"/>
                    <w:jc w:val="left"/>
                    <w:jc w:val="center"/>
                  </w:pPr>
                  <w:r>
                    <w:rPr>
                      <w:b/>
                      <w:bCs/>
                    </w:rPr>
                    <w:t xml:space="preserve">Maternal smoking</w:t>
                  </w:r>
                </w:p>
              </w:tc>
              <w:tc>
                <w:tcPr/>
                <w:p>
                  <w:pPr>
                    <w:pStyle w:val="Compact"/>
                    <w:jc w:val="center"/>
                    <w:jc w:val="center"/>
                  </w:pPr>
                  <w:r>
                    <w:t xml:space="preserve">Never</w:t>
                  </w:r>
                </w:p>
              </w:tc>
              <w:tc>
                <w:tcPr/>
                <w:p>
                  <w:pPr>
                    <w:pStyle w:val="Compact"/>
                    <w:jc w:val="right"/>
                    <w:jc w:val="center"/>
                  </w:pPr>
                  <w:r>
                    <w:t xml:space="preserve">4412 (52.3)</w:t>
                  </w:r>
                </w:p>
              </w:tc>
              <w:tc>
                <w:tcPr/>
                <w:p>
                  <w:pPr>
                    <w:pStyle w:val="Compact"/>
                    <w:jc w:val="center"/>
                    <w:jc w:val="center"/>
                  </w:pPr>
                  <w:r>
                    <w:t xml:space="preserve">Never</w:t>
                  </w:r>
                </w:p>
              </w:tc>
              <w:tc>
                <w:tcPr/>
                <w:p>
                  <w:pPr>
                    <w:pStyle w:val="Compact"/>
                    <w:jc w:val="right"/>
                    <w:jc w:val="center"/>
                  </w:pPr>
                  <w:r>
                    <w:t xml:space="preserve">3234 (75.8)</w:t>
                  </w:r>
                </w:p>
              </w:tc>
            </w:tr>
            <w:tr>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2524 (30.0)</w:t>
                  </w:r>
                </w:p>
              </w:tc>
              <w:tc>
                <w:tcPr/>
                <w:p>
                  <w:pPr>
                    <w:pStyle w:val="Compact"/>
                    <w:jc w:val="center"/>
                    <w:jc w:val="center"/>
                  </w:pPr>
                  <w:r>
                    <w:t xml:space="preserve">Until pregnancy</w:t>
                  </w:r>
                </w:p>
              </w:tc>
              <w:tc>
                <w:tcPr/>
                <w:p>
                  <w:pPr>
                    <w:pStyle w:val="Compact"/>
                    <w:jc w:val="right"/>
                    <w:jc w:val="center"/>
                  </w:pPr>
                  <w:r>
                    <w:t xml:space="preserve">386 (9.0)</w:t>
                  </w:r>
                </w:p>
              </w:tc>
            </w:tr>
            <w:tr>
              <w:tc>
                <w:tcPr>
                  <w:gridSpan w:val="1"/>
                  <w:vMerge w:val="continue"/>
                </w:tcPr>
                <w:p>
                  <w:pPr/>
                </w:p>
              </w:tc>
              <w:tc>
                <w:tcPr/>
                <w:p>
                  <w:pPr>
                    <w:pStyle w:val="Compact"/>
                    <w:jc w:val="center"/>
                    <w:jc w:val="center"/>
                  </w:pPr>
                  <w:r>
                    <w:t xml:space="preserve">During pregnancy</w:t>
                  </w:r>
                </w:p>
              </w:tc>
              <w:tc>
                <w:tcPr/>
                <w:p>
                  <w:pPr>
                    <w:pStyle w:val="Compact"/>
                    <w:jc w:val="right"/>
                    <w:jc w:val="center"/>
                  </w:pPr>
                  <w:r>
                    <w:t xml:space="preserve">1492 (17.7)</w:t>
                  </w:r>
                </w:p>
              </w:tc>
              <w:tc>
                <w:tcPr/>
                <w:p>
                  <w:pPr>
                    <w:pStyle w:val="Compact"/>
                    <w:jc w:val="center"/>
                    <w:jc w:val="center"/>
                  </w:pPr>
                  <w:r>
                    <w:t xml:space="preserve">During pregnancy</w:t>
                  </w:r>
                </w:p>
              </w:tc>
              <w:tc>
                <w:tcPr/>
                <w:p>
                  <w:pPr>
                    <w:pStyle w:val="Compact"/>
                    <w:jc w:val="right"/>
                    <w:jc w:val="center"/>
                  </w:pPr>
                  <w:r>
                    <w:t xml:space="preserve">648 (15.2)</w:t>
                  </w:r>
                </w:p>
              </w:tc>
            </w:tr>
            <w:tr>
              <w:tc>
                <w:tcPr>
                  <w:vMerge w:val="restart"/>
                </w:tcPr>
                <w:p>
                  <w:pPr>
                    <w:pStyle w:val="Compact"/>
                    <w:jc w:val="left"/>
                    <w:jc w:val="center"/>
                  </w:pPr>
                  <w:r>
                    <w:rPr>
                      <w:b/>
                      <w:bCs/>
                    </w:rPr>
                    <w:t xml:space="preserve">Maternal alcohol consumption</w:t>
                  </w:r>
                </w:p>
              </w:tc>
              <w:tc>
                <w:tcPr>
                  <w:vMerge w:val="restart"/>
                </w:tcPr>
                <w:p>
                  <w:pPr>
                    <w:pStyle w:val="Compact"/>
                    <w:jc w:val="center"/>
                    <w:jc w:val="center"/>
                  </w:pPr>
                  <w:r>
                    <w:t xml:space="preserve">continuous score</w:t>
                  </w:r>
                  <w:r>
                    <w:rPr>
                      <w:vertAlign w:val="superscript"/>
                    </w:rPr>
                    <w:t xml:space="preserve">1</w:t>
                  </w:r>
                </w:p>
              </w:tc>
              <w:tc>
                <w:tcPr>
                  <w:vMerge w:val="restart"/>
                </w:tcPr>
                <w:p>
                  <w:pPr>
                    <w:pStyle w:val="Compact"/>
                    <w:jc w:val="right"/>
                    <w:jc w:val="center"/>
                  </w:pPr>
                  <w:r>
                    <w:t xml:space="preserve">0.73 (0.00-3.50)</w:t>
                  </w:r>
                </w:p>
              </w:tc>
              <w:tc>
                <w:tcPr/>
                <w:p>
                  <w:pPr>
                    <w:pStyle w:val="Compact"/>
                    <w:jc w:val="center"/>
                    <w:jc w:val="center"/>
                  </w:pPr>
                  <w:r>
                    <w:t xml:space="preserve">Never</w:t>
                  </w:r>
                </w:p>
              </w:tc>
              <w:tc>
                <w:tcPr/>
                <w:p>
                  <w:pPr>
                    <w:pStyle w:val="Compact"/>
                    <w:jc w:val="right"/>
                    <w:jc w:val="center"/>
                  </w:pPr>
                  <w:r>
                    <w:t xml:space="preserve">1694 (39.7)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599 (14.0)</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occasionally</w:t>
                  </w:r>
                </w:p>
              </w:tc>
              <w:tc>
                <w:tcPr/>
                <w:p>
                  <w:pPr>
                    <w:pStyle w:val="Compact"/>
                    <w:jc w:val="right"/>
                    <w:jc w:val="center"/>
                  </w:pPr>
                  <w:r>
                    <w:t xml:space="preserve">1567 (36.7)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frequently</w:t>
                  </w:r>
                </w:p>
              </w:tc>
              <w:tc>
                <w:tcPr/>
                <w:p>
                  <w:pPr>
                    <w:pStyle w:val="Compact"/>
                    <w:jc w:val="right"/>
                    <w:jc w:val="center"/>
                  </w:pPr>
                  <w:r>
                    <w:t xml:space="preserve">405 (9.5)</w:t>
                  </w:r>
                </w:p>
              </w:tc>
            </w:tr>
            <w:tr>
              <w:tc>
                <w:tcPr>
                  <w:vMerge w:val="restart"/>
                </w:tcPr>
                <w:p>
                  <w:pPr>
                    <w:pStyle w:val="Compact"/>
                    <w:jc w:val="left"/>
                    <w:jc w:val="center"/>
                  </w:pPr>
                  <w:r>
                    <w:rPr>
                      <w:b/>
                      <w:bCs/>
                    </w:rPr>
                    <w:t xml:space="preserve">Maternal education</w:t>
                  </w:r>
                  <w:r>
                    <w:rPr>
                      <w:vertAlign w:val="superscript"/>
                    </w:rPr>
                    <w:t xml:space="preserve">2</w:t>
                  </w:r>
                </w:p>
              </w:tc>
              <w:tc>
                <w:tcPr/>
                <w:p>
                  <w:pPr>
                    <w:pStyle w:val="Compact"/>
                    <w:jc w:val="center"/>
                    <w:jc w:val="center"/>
                  </w:pPr>
                  <w:r>
                    <w:t xml:space="preserve">Low</w:t>
                  </w:r>
                </w:p>
              </w:tc>
              <w:tc>
                <w:tcPr/>
                <w:p>
                  <w:pPr>
                    <w:pStyle w:val="Compact"/>
                    <w:jc w:val="right"/>
                    <w:jc w:val="center"/>
                  </w:pPr>
                  <w:r>
                    <w:t xml:space="preserve">4216 (50.0)</w:t>
                  </w:r>
                </w:p>
              </w:tc>
              <w:tc>
                <w:tcPr/>
                <w:p>
                  <w:pPr>
                    <w:pStyle w:val="Compact"/>
                    <w:jc w:val="center"/>
                    <w:jc w:val="center"/>
                  </w:pPr>
                  <w:r>
                    <w:t xml:space="preserve">Low</w:t>
                  </w:r>
                </w:p>
              </w:tc>
              <w:tc>
                <w:tcPr/>
                <w:p>
                  <w:pPr>
                    <w:pStyle w:val="Compact"/>
                    <w:jc w:val="right"/>
                    <w:jc w:val="center"/>
                  </w:pPr>
                  <w:r>
                    <w:t xml:space="preserve">1716 (40.2)</w:t>
                  </w:r>
                </w:p>
              </w:tc>
            </w:tr>
            <w:tr>
              <w:tc>
                <w:tcPr>
                  <w:gridSpan w:val="1"/>
                  <w:vMerge w:val="continue"/>
                </w:tcPr>
                <w:p>
                  <w:pPr/>
                </w:p>
              </w:tc>
              <w:tc>
                <w:tcPr/>
                <w:p>
                  <w:pPr>
                    <w:pStyle w:val="Compact"/>
                    <w:jc w:val="center"/>
                    <w:jc w:val="center"/>
                  </w:pPr>
                  <w:r>
                    <w:t xml:space="preserve">Medium</w:t>
                  </w:r>
                </w:p>
              </w:tc>
              <w:tc>
                <w:tcPr/>
                <w:p>
                  <w:pPr>
                    <w:pStyle w:val="Compact"/>
                    <w:jc w:val="right"/>
                    <w:jc w:val="center"/>
                  </w:pPr>
                  <w:r>
                    <w:t xml:space="preserve">3001 (35.6)</w:t>
                  </w:r>
                </w:p>
              </w:tc>
              <w:tc>
                <w:tcPr/>
                <w:p>
                  <w:pPr>
                    <w:pStyle w:val="Compact"/>
                    <w:jc w:val="center"/>
                    <w:jc w:val="center"/>
                  </w:pPr>
                  <w:r>
                    <w:t xml:space="preserve">Medium</w:t>
                  </w:r>
                </w:p>
              </w:tc>
              <w:tc>
                <w:tcPr/>
                <w:p>
                  <w:pPr>
                    <w:pStyle w:val="Compact"/>
                    <w:jc w:val="right"/>
                    <w:jc w:val="center"/>
                  </w:pPr>
                  <w:r>
                    <w:t xml:space="preserve">1278 (29.9)</w:t>
                  </w:r>
                </w:p>
              </w:tc>
            </w:tr>
            <w:tr>
              <w:tc>
                <w:tcPr>
                  <w:gridSpan w:val="1"/>
                  <w:vMerge w:val="continue"/>
                </w:tcPr>
                <w:p>
                  <w:pPr/>
                </w:p>
              </w:tc>
              <w:tc>
                <w:tcPr/>
                <w:p>
                  <w:pPr>
                    <w:pStyle w:val="Compact"/>
                    <w:jc w:val="center"/>
                    <w:jc w:val="center"/>
                  </w:pPr>
                  <w:r>
                    <w:t xml:space="preserve">High</w:t>
                  </w:r>
                </w:p>
              </w:tc>
              <w:tc>
                <w:tcPr/>
                <w:p>
                  <w:pPr>
                    <w:pStyle w:val="Compact"/>
                    <w:jc w:val="right"/>
                    <w:jc w:val="center"/>
                  </w:pPr>
                  <w:r>
                    <w:t xml:space="preserve">1212 (14.4)</w:t>
                  </w:r>
                </w:p>
              </w:tc>
              <w:tc>
                <w:tcPr/>
                <w:p>
                  <w:pPr>
                    <w:pStyle w:val="Compact"/>
                    <w:jc w:val="center"/>
                    <w:jc w:val="center"/>
                  </w:pPr>
                  <w:r>
                    <w:t xml:space="preserve">High</w:t>
                  </w:r>
                </w:p>
              </w:tc>
              <w:tc>
                <w:tcPr/>
                <w:p>
                  <w:pPr>
                    <w:pStyle w:val="Compact"/>
                    <w:jc w:val="right"/>
                    <w:jc w:val="center"/>
                  </w:pPr>
                  <w:r>
                    <w:t xml:space="preserve">1274 (29.9)</w:t>
                  </w:r>
                </w:p>
              </w:tc>
            </w:tr>
            <w:tr>
              <w:tc>
                <w:tcPr>
                  <w:gridSpan w:val="5"/>
                </w:tcPr>
                <w:p>
                  <w:pPr>
                    <w:pStyle w:val="Compact"/>
                    <w:jc w:val="center"/>
                  </w:pPr>
                  <w:r>
                    <w:t xml:space="preserve"> </w:t>
                  </w:r>
                  <w:r>
                    <w:rPr>
                      <w:u w:val="single"/>
                    </w:rPr>
                    <w:t xml:space="preserve">Note</w:t>
                  </w:r>
                  <w:r>
                    <w:t xml:space="preserve">: Sample characteristics of each cohort, pooled across 30 imputed datasets. We report mean (range) for continuous variables and n (percentage) of each group for categorical variables.</w:t>
                  </w:r>
                </w:p>
              </w:tc>
            </w:tr>
            <w:tr>
              <w:tc>
                <w:tcPr>
                  <w:gridSpan w:val="5"/>
                </w:tcPr>
                <w:p>
                  <w:pPr>
                    <w:pStyle w:val="Compact"/>
                    <w:jc w:val="center"/>
                  </w:pPr>
                  <w:r>
                    <w:t xml:space="preserve"> </w:t>
                  </w:r>
                  <w:r>
                    <w:rPr>
                      <w:vertAlign w:val="superscript"/>
                    </w:rPr>
                    <w:t xml:space="preserve">1</w:t>
                  </w:r>
                  <w:r>
                    <w:t xml:space="preserve"> </w:t>
                  </w:r>
                  <w:r>
                    <w:t xml:space="preserve">higher scores correspond to higher alcohol use frequencies throughout pregnancy.</w:t>
                  </w:r>
                </w:p>
              </w:tc>
            </w:tr>
            <w:tr>
              <w:tc>
                <w:tcPr>
                  <w:gridSpan w:val="5"/>
                </w:tcPr>
                <w:p>
                  <w:pPr>
                    <w:pStyle w:val="Compact"/>
                    <w:jc w:val="center"/>
                  </w:pPr>
                  <w:r>
                    <w:t xml:space="preserve"> </w:t>
                  </w:r>
                  <w:r>
                    <w:rPr>
                      <w:vertAlign w:val="superscript"/>
                    </w:rPr>
                    <w:t xml:space="preserve">2</w:t>
                  </w:r>
                  <w:r>
                    <w:t xml:space="preserve"> </w:t>
                  </w:r>
                  <w:r>
                    <w:t xml:space="preserve">Maternal education: low = 'None", "Certificate of Secondary Education", "Vocational" or "O level" in ALSPAC, "secondary, phase 2" or lower in GenR; medium = "A level" in ALSPAC, "higher, phase 1" in GenR; high = "(College or university) degree" in ALSPAC, "higher, phase 2" in GenR. Categorization based on the International Standard Classification of Education 2011.</w:t>
                  </w:r>
                </w:p>
              </w:tc>
            </w:tr>
          </w:tbl>
          <w:bookmarkEnd w:id="260"/>
          <w:p/>
        </w:tc>
      </w:tr>
    </w:tbl>
    <w:bookmarkEnd w:id="261"/>
    <w:bookmarkStart w:id="266" w:name="main-analyses-1"/>
    <w:p>
      <w:pPr>
        <w:pStyle w:val="Heading3"/>
      </w:pPr>
      <w:r>
        <w:t xml:space="preserve">Main analyses</w:t>
      </w:r>
    </w:p>
    <w:p>
      <w:pPr>
        <w:pStyle w:val="FirstParagraph"/>
      </w:pPr>
      <w:r>
        <w:t xml:space="preserve">We did not find evidence in support of any of the hypothesised moderation effects (</w:t>
      </w:r>
      <w:hyperlink r:id="rId255">
        <w:r>
          <w:rPr>
            <w:rStyle w:val="Hyperlink"/>
            <w:i/>
            <w:iCs/>
          </w:rPr>
          <w:t xml:space="preserve">Supplementary Table S3</w:t>
        </w:r>
      </w:hyperlink>
      <w:r>
        <w:t xml:space="preserve">). Increased ELS was significantly associated with higher risk of developing comorbidity (vs. being healthy;</w:t>
      </w:r>
      <w:r>
        <w:t xml:space="preserve"> </w:t>
      </w:r>
      <w:hyperlink w:anchor="fig-3.2">
        <w:r>
          <w:rPr>
            <w:rStyle w:val="Hyperlink"/>
          </w:rPr>
          <w:t xml:space="preserve">Figure 3.2</w:t>
        </w:r>
      </w:hyperlink>
      <w:r>
        <w:t xml:space="preserve"> </w:t>
      </w:r>
      <w:r>
        <w:t xml:space="preserve">A; ORs: 1.65-1.67 in ALSPAC and 2.70-2.75 in GenR), but this association was not modified by any of the three lifestyle factors we investigated (</w:t>
      </w:r>
      <w:hyperlink w:anchor="fig-3.2">
        <w:r>
          <w:rPr>
            <w:rStyle w:val="Hyperlink"/>
          </w:rPr>
          <w:t xml:space="preserve">Figure 3.2</w:t>
        </w:r>
      </w:hyperlink>
      <w:r>
        <w:t xml:space="preserve"> </w:t>
      </w:r>
      <w:r>
        <w:t xml:space="preserve">B-D).</w:t>
      </w:r>
    </w:p>
    <w:p>
      <w:pPr>
        <w:pStyle w:val="BodyText"/>
      </w:pPr>
      <w:r>
        <w:t xml:space="preserve">Conversely, while comorbidity risk was generally lower in children who engaged in favourable lifestyle behaviours (</w:t>
      </w:r>
      <w:hyperlink w:anchor="fig-3.2">
        <w:r>
          <w:rPr>
            <w:rStyle w:val="Hyperlink"/>
          </w:rPr>
          <w:t xml:space="preserve">Figure 3.2</w:t>
        </w:r>
      </w:hyperlink>
      <w:r>
        <w:t xml:space="preserve"> </w:t>
      </w:r>
      <w:r>
        <w:t xml:space="preserve">A), this effect was only significant for physical activity and only in one of the two cohorts (OR</w:t>
      </w:r>
      <m:oMath>
        <m:sSub>
          <m:e>
            <m:r>
              <m:t>​</m:t>
            </m:r>
          </m:e>
          <m:sub>
            <m:r>
              <m:t>A</m:t>
            </m:r>
            <m:r>
              <m:t>L</m:t>
            </m:r>
            <m:r>
              <m:t>S</m:t>
            </m:r>
            <m:r>
              <m:t>P</m:t>
            </m:r>
            <m:r>
              <m:t>A</m:t>
            </m:r>
            <m:r>
              <m:t>C</m:t>
            </m:r>
          </m:sub>
        </m:sSub>
      </m:oMath>
      <w:r>
        <w:t xml:space="preserve"> </w:t>
      </w:r>
      <w:r>
        <w:t xml:space="preserve">[95%CI] = 0.73 [0.59;0.89]). The magnitude of multicollinearity was low in all the models (VIF ≤ 1.17; see</w:t>
      </w:r>
      <w:r>
        <w:t xml:space="preserve"> </w:t>
      </w:r>
      <w:hyperlink r:id="rId255">
        <w:r>
          <w:rPr>
            <w:rStyle w:val="Hyperlink"/>
            <w:i/>
            <w:iCs/>
          </w:rPr>
          <w:t xml:space="preserve">Supplementary 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5" w:name="fig-3.2"/>
          <w:p>
            <w:pPr>
              <w:pStyle w:val="Compact"/>
              <w:jc w:val="center"/>
            </w:pPr>
            <w:r>
              <w:drawing>
                <wp:inline>
                  <wp:extent cx="5943600" cy="5052060"/>
                  <wp:effectExtent b="0" l="0" r="0" t="0"/>
                  <wp:docPr descr="" title="" id="263" name="Picture"/>
                  <a:graphic>
                    <a:graphicData uri="http://schemas.openxmlformats.org/drawingml/2006/picture">
                      <pic:pic>
                        <pic:nvPicPr>
                          <pic:cNvPr descr="3.Chapter/Figures/F2_mainres.png" id="264" name="Picture"/>
                          <pic:cNvPicPr>
                            <a:picLocks noChangeArrowheads="1" noChangeAspect="1"/>
                          </pic:cNvPicPr>
                        </pic:nvPicPr>
                        <pic:blipFill>
                          <a:blip r:embed="rId262"/>
                          <a:stretch>
                            <a:fillRect/>
                          </a:stretch>
                        </pic:blipFill>
                        <pic:spPr bwMode="auto">
                          <a:xfrm>
                            <a:off x="0" y="0"/>
                            <a:ext cx="5943600" cy="5052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w:t>
            </w:r>
            <w:r>
              <w:t xml:space="preserve"> </w:t>
            </w:r>
            <w:r>
              <w:rPr>
                <w:b/>
                <w:bCs/>
              </w:rPr>
              <w:t xml:space="preserve">Main effects and interactions between lifestyle factors and early-life stress on comorbidity risk in ALSPAC and Generation R children (UK, 1992-2006; The Netherlands, 2002-2016)</w:t>
            </w:r>
            <w:r>
              <w:t xml:space="preserve">(A) Odd ratios (OR) and their 95% confidence intervals (CI) are represented along the x-axis for the main effects of physical activity, sleep and diet (in black) and for that of ELS (in grey). Statistically significant terms are highlighted in bold.</w:t>
            </w:r>
            <w:r>
              <w:t xml:space="preserve">(B-D) The predicted probability of developing comorbidity (y-axis) against ELS exposure levels (x-axis), stratified by lifestyle factor levels (red to green coloured lines). The 95% CIs around the predicted probabilities are also shown for each line (i.e., lifestyle factor level) and their overlap is an indication for the lack of interaction between ELS and physical activity, sleep or diet.</w:t>
            </w:r>
          </w:p>
          <w:bookmarkEnd w:id="265"/>
        </w:tc>
      </w:tr>
    </w:tbl>
    <w:bookmarkEnd w:id="266"/>
    <w:bookmarkStart w:id="271"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w:t>
      </w:r>
      <w:hyperlink r:id="rId255">
        <w:r>
          <w:rPr>
            <w:rStyle w:val="Hyperlink"/>
            <w:i/>
            <w:iCs/>
          </w:rPr>
          <w:t xml:space="preserve">Supplementary Table S4</w:t>
        </w:r>
      </w:hyperlink>
      <w:r>
        <w:t xml:space="preserve">;</w:t>
      </w:r>
      <w:r>
        <w:t xml:space="preserve"> </w:t>
      </w:r>
      <w:hyperlink w:anchor="fig-3.3">
        <w:r>
          <w:rPr>
            <w:rStyle w:val="Hyperlink"/>
          </w:rPr>
          <w:t xml:space="preserve">Figure 3.3</w:t>
        </w:r>
      </w:hyperlink>
      <w:r>
        <w:t xml:space="preserve">). ELS was significantly associated with increased internalizing symptoms and adiposity, but neither association was modified by physical activity, sleep or diet.</w:t>
      </w:r>
    </w:p>
    <w:p>
      <w:pPr>
        <w:pStyle w:val="BodyText"/>
      </w:pPr>
      <w:r>
        <w:t xml:space="preserve">Only the main effect of physical activity on internalizing symptoms was statistically significant in both cohorts (β</w:t>
      </w:r>
      <m:oMath>
        <m:sSub>
          <m:e>
            <m:r>
              <m:t>​</m:t>
            </m:r>
          </m:e>
          <m:sub>
            <m:r>
              <m:t>A</m:t>
            </m:r>
            <m:r>
              <m:t>L</m:t>
            </m:r>
            <m:r>
              <m:t>S</m:t>
            </m:r>
            <m:r>
              <m:t>P</m:t>
            </m:r>
            <m:r>
              <m:t>A</m:t>
            </m:r>
            <m:r>
              <m:t>C</m:t>
            </m:r>
          </m:sub>
        </m:sSub>
      </m:oMath>
      <w:r>
        <w:t xml:space="preserve"> </w:t>
      </w:r>
      <w:r>
        <w:t xml:space="preserve">[95%CI] = -0.05 [-0.08;-0.03]; β</w:t>
      </w:r>
      <m:oMath>
        <m:sSub>
          <m:e>
            <m:r>
              <m:t>​</m:t>
            </m:r>
          </m:e>
          <m:sub>
            <m:r>
              <m:t>G</m:t>
            </m:r>
            <m:r>
              <m:t>e</m:t>
            </m:r>
            <m:r>
              <m:t>n</m:t>
            </m:r>
            <m:r>
              <m:t>R</m:t>
            </m:r>
          </m:sub>
        </m:sSub>
      </m:oMath>
      <w:r>
        <w:t xml:space="preserve"> </w:t>
      </w:r>
      <w:r>
        <w:t xml:space="preserve">[95%CI] = -0.05 [-0.09;-0.02]).</w:t>
      </w:r>
    </w:p>
    <w:p>
      <w:pPr>
        <w:pStyle w:val="BodyText"/>
      </w:pPr>
      <w:r>
        <w:t xml:space="preserve">Engagement in two of the three favourable lifestyle behaviours was linked to lower adiposity levels, but only in one of the two cohorts (β</w:t>
      </w:r>
      <m:oMath>
        <m:sSub>
          <m:e>
            <m:r>
              <m:t>​</m:t>
            </m:r>
          </m:e>
          <m:sub>
            <m:r>
              <m:t>A</m:t>
            </m:r>
            <m:r>
              <m:t>L</m:t>
            </m:r>
            <m:r>
              <m:t>S</m:t>
            </m:r>
            <m:r>
              <m:t>P</m:t>
            </m:r>
            <m:r>
              <m:t>A</m:t>
            </m:r>
            <m:r>
              <m:t>C</m:t>
            </m:r>
          </m:sub>
        </m:sSub>
      </m:oMath>
      <w:r>
        <w:t xml:space="preserve"> </w:t>
      </w:r>
      <w:r>
        <w:t xml:space="preserve">[95%CI]: physical activity = -0.08 [-0.10;-0.06]; sleep = -0.02 [-0.05;0.01]).</w:t>
      </w:r>
    </w:p>
    <w:p>
      <w:pPr>
        <w:pStyle w:val="BodyText"/>
      </w:pPr>
      <w:r>
        <w:t xml:space="preserve">Findings did not change substantially when ELS exposure was restricted to the prenatal or postnatal periods only (</w:t>
      </w:r>
      <w:hyperlink r:id="rId255">
        <w:r>
          <w:rPr>
            <w:rStyle w:val="Hyperlink"/>
            <w:i/>
            <w:iCs/>
          </w:rPr>
          <w:t xml:space="preserve">Supplementary Table S5</w:t>
        </w:r>
      </w:hyperlink>
      <w:r>
        <w:t xml:space="preserve">), nor when lifestyle factors were dichotomized into adherence and non-adherence to international guidelines (</w:t>
      </w:r>
      <w:hyperlink r:id="rId255">
        <w:r>
          <w:rPr>
            <w:rStyle w:val="Hyperlink"/>
            <w:i/>
            <w:iCs/>
          </w:rPr>
          <w:t xml:space="preserve">Supplementary Table S6</w:t>
        </w:r>
      </w:hyperlink>
      <w:r>
        <w:t xml:space="preserve">). The non-linear relationships between each lifestyle factor and the main outcomes of interest are represented in</w:t>
      </w:r>
      <w:r>
        <w:t xml:space="preserve"> </w:t>
      </w:r>
      <w:hyperlink r:id="rId244">
        <w:r>
          <w:rPr>
            <w:rStyle w:val="Hyperlink"/>
            <w:i/>
            <w:iCs/>
          </w:rPr>
          <w:t xml:space="preserve">Supplementary Figure S1</w:t>
        </w:r>
      </w:hyperlink>
      <w:r>
        <w:t xml:space="preserve">. Only for the relationship between sleep and internalizing symptoms did we find any evidence for a non-linear (inverse logarithmic) trend. We did not find a statistically significant interaction between ELS exposure and maternal BMI on child comorbidity (</w:t>
      </w:r>
      <w:hyperlink r:id="rId255">
        <w:r>
          <w:rPr>
            <w:rStyle w:val="Hyperlink"/>
            <w:i/>
            <w:iCs/>
          </w:rPr>
          <w:t xml:space="preserve">Supplementary Table S7</w:t>
        </w:r>
      </w:hyperlink>
      <w:r>
        <w:t xml:space="preserve">). The sensitivity analysis conducted in the subsample with complete outcome and moderator data (sample size = ALSPAC: 3680-4237; GenR: 961-2369) also did not impact our main conclusions (</w:t>
      </w:r>
      <w:hyperlink r:id="rId255">
        <w:r>
          <w:rPr>
            <w:rStyle w:val="Hyperlink"/>
            <w:i/>
            <w:iCs/>
          </w:rPr>
          <w:t xml:space="preserve">Supplementary Table S8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fig-3.3"/>
          <w:p>
            <w:pPr>
              <w:pStyle w:val="Compact"/>
              <w:jc w:val="center"/>
            </w:pPr>
            <w:r>
              <w:drawing>
                <wp:inline>
                  <wp:extent cx="5943600" cy="8915400"/>
                  <wp:effectExtent b="0" l="0" r="0" t="0"/>
                  <wp:docPr descr="" title="" id="268" name="Picture"/>
                  <a:graphic>
                    <a:graphicData uri="http://schemas.openxmlformats.org/drawingml/2006/picture">
                      <pic:pic>
                        <pic:nvPicPr>
                          <pic:cNvPr descr="3.Chapter/Figures/F3_lineares.png" id="269" name="Picture"/>
                          <pic:cNvPicPr>
                            <a:picLocks noChangeArrowheads="1" noChangeAspect="1"/>
                          </pic:cNvPicPr>
                        </pic:nvPicPr>
                        <pic:blipFill>
                          <a:blip r:embed="rId267"/>
                          <a:stretch>
                            <a:fillRect/>
                          </a:stretch>
                        </pic:blipFill>
                        <pic:spPr bwMode="auto">
                          <a:xfrm>
                            <a:off x="0" y="0"/>
                            <a:ext cx="5943600" cy="8915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
                <w:bCs/>
              </w:rPr>
              <w:t xml:space="preserve">Main effects and interactions between lifestyle factors and early-life stress on internalizing symptoms and adiposity in ALSPAC and Generation R children (UK, 1992-2006; The Netherlands, 2002-2016)</w:t>
            </w:r>
            <w:r>
              <w:t xml:space="preserve">(A, E). For each outcome (A. Internalizing symptoms; E. Adiposity), the standardized effect estimates and their 95% confidence intervals (CI) are represented along the x-axis for the main effects of physical activity, sleep and diet (in black) and for that of ELS (in grey). Statistically significant terms are highlighted in bold.</w:t>
            </w:r>
            <w:r>
              <w:t xml:space="preserve">(B-D) and (F-H). Linear association between ELS exposure on the x-axis and internalizing symptoms (B-D) or adiposity (F-H) on the y-axis, stratified by lifestyle factor levels (red to green coloured lines). The 95%CIs around each slope (i.e., lifestyle factor level) are also shown and their overlap is indication of the lack of interaction between ELS and physical activity, sleep or diet. P-value for the said interaction is also noted at the bottom right of each plot.</w:t>
            </w:r>
          </w:p>
          <w:bookmarkEnd w:id="270"/>
        </w:tc>
      </w:tr>
    </w:tbl>
    <w:bookmarkEnd w:id="271"/>
    <w:bookmarkEnd w:id="272"/>
    <w:bookmarkStart w:id="274" w:name="discussion-1"/>
    <w:p>
      <w:pPr>
        <w:pStyle w:val="Heading2"/>
      </w:pPr>
      <w:r>
        <w:t xml:space="preserve">3.4 Discussion</w:t>
      </w:r>
    </w:p>
    <w:p>
      <w:pPr>
        <w:pStyle w:val="FirstParagraph"/>
      </w:pPr>
      <w:r>
        <w:t xml:space="preserve">In this study based on data from two independent population-based cohorts, we did not find evidence that either physical activity, sleep or dietary behaviour may attenuate the association between ELS exposure and adolescent psycho-physical comorbidity.</w:t>
      </w:r>
    </w:p>
    <w:p>
      <w:pPr>
        <w:pStyle w:val="BodyText"/>
      </w:pPr>
      <w:r>
        <w:t xml:space="preserve">However, at average levels of stress exposure, engaging in more frequent physical activity (more so than sleeping adequately or following a Mediterranean diet) was significantly associated with a reduced risk of developing comorbidity, as well as with lower levels of both internalizing symptoms and adiposity, in one of the cohorts investigated. While the direction of effects was generally consistent across cohorts, only the association between physical activity and internalizing symptoms resulted statistically significant in both ALSPAC and GenR children. Overall, it is important to note that the association between lifestyle behaviours and psycho-physical comorbidity was considerably smaller compared to that between ELS and comorbidity.</w:t>
      </w:r>
    </w:p>
    <w:p>
      <w:pPr>
        <w:pStyle w:val="BodyText"/>
      </w:pPr>
      <w:r>
        <w:t xml:space="preserve">In line with these findings, previous studies conducted in adult populations also showed how the association between retrospectively reported childhood maltreatment and higher odds of psycho-physical comorbidity, was still present after additional adjustment for concurrent lifestyle factors such as smoking, alcohol use, sleep and physical activity</w:t>
      </w:r>
      <w:r>
        <w:t xml:space="preserve"> </w:t>
      </w:r>
      <w:r>
        <w:t xml:space="preserve">(Souama et al., 2023; Tomasdottir et al., 2015)</w:t>
      </w:r>
      <w:r>
        <w:t xml:space="preserve">, although none of these previous studies formally tested for ELS-by-lifestyle interactions.</w:t>
      </w:r>
    </w:p>
    <w:p>
      <w:pPr>
        <w:pStyle w:val="BodyText"/>
      </w:pPr>
      <w:r>
        <w:t xml:space="preserve">Our results also align with the previously reported protective effects of physical activity (e.g., swimming or cycling) for reducing the risk of depression</w:t>
      </w:r>
      <w:r>
        <w:t xml:space="preserve"> </w:t>
      </w:r>
      <w:r>
        <w:t xml:space="preserve">(Choi et al., 2019, 2020; Firth et al., 2020; He et al., 2021; Schuch et al., 2018)</w:t>
      </w:r>
      <w:r>
        <w:t xml:space="preserve">, although this was not specific to children exposed to higher levels of stress</w:t>
      </w:r>
      <w:r>
        <w:t xml:space="preserve"> </w:t>
      </w:r>
      <w:r>
        <w:t xml:space="preserve">(Choi et al., 2020)</w:t>
      </w:r>
      <w:r>
        <w:t xml:space="preserve">.</w:t>
      </w:r>
    </w:p>
    <w:p>
      <w:pPr>
        <w:pStyle w:val="BodyText"/>
      </w:pPr>
      <w:r>
        <w:t xml:space="preserve">In contrast, we could not find convincing evidence that either longer sleep duration or improved diet quality would alleviate the risk for depression or cardiometabolic problems (or their combination), as suggested by some previous studies</w:t>
      </w:r>
      <w:r>
        <w:t xml:space="preserve"> </w:t>
      </w:r>
      <w:r>
        <w:t xml:space="preserve">(He et al., 2021; Katikireddi et al., 2017; Lassale et al., 2019; Zhai et al., 2015)</w:t>
      </w:r>
      <w:r>
        <w:t xml:space="preserve">. 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w:t>
      </w:r>
      <w:r>
        <w:t xml:space="preserve"> </w:t>
      </w:r>
      <w:r>
        <w:t xml:space="preserve">Choi et al. (2020)</w:t>
      </w:r>
      <w:r>
        <w:t xml:space="preserve">].</w:t>
      </w:r>
    </w:p>
    <w:p>
      <w:pPr>
        <w:pStyle w:val="BodyText"/>
      </w:pPr>
      <w:r>
        <w:t xml:space="preserve">One further insight emerging from these analyses was that of a stronger magnitude of association between ELS and comorbidity compared to that between each of the three lifestyle factors and comorbidity. While this result could be interpreted as an indication of the more severe, long-lasting impact of ELS, as discussed elsewhere</w:t>
      </w:r>
      <w:r>
        <w:t xml:space="preserve"> </w:t>
      </w:r>
      <w:r>
        <w:t xml:space="preserve">(Henchoz et al., 2019; Souama et al., 2023; Tomasdottir et al., 2015)</w:t>
      </w:r>
      <w:r>
        <w:t xml:space="preserve">, we would like to highlight that 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p>
      <w:pPr>
        <w:pStyle w:val="BodyText"/>
      </w:pPr>
      <w:r>
        <w:t xml:space="preserve">In addition to this point, a few other study limitations need to be considered when interpreting these results. First, our measurement of ELS, lifestyle behaviours and internalizing symptoms rely primarily on parent reports, which might have introduced information bias. ELS exposure was assessed over a large (~10 years) temporal window, but the measure was inevitably constrained by data availability. Additionally, cohort differences in the reporting of physical activity (i.e.,</w:t>
      </w:r>
      <w:r>
        <w:t xml:space="preserve"> </w:t>
      </w:r>
      <w:r>
        <w:t xml:space="preserve">“vigorous physical activity”</w:t>
      </w:r>
      <w:r>
        <w:t xml:space="preserve"> </w:t>
      </w:r>
      <w:r>
        <w:t xml:space="preserve">in ALSPAC, vs. </w:t>
      </w:r>
      <w:r>
        <w:t xml:space="preserve">“sports”</w:t>
      </w:r>
      <w:r>
        <w:t xml:space="preserve"> </w:t>
      </w:r>
      <w:r>
        <w:t xml:space="preserve">in GenR) may have contributed to heterogeneous findings for the main effect of physical activity on comorbidity. For example,</w:t>
      </w:r>
      <w:r>
        <w:t xml:space="preserve"> </w:t>
      </w:r>
      <w:r>
        <w:t xml:space="preserve">“sports”</w:t>
      </w:r>
      <w:r>
        <w:t xml:space="preserve"> </w:t>
      </w:r>
      <w:r>
        <w:t xml:space="preserve">can include non-vigorous activities, which are potentially less effective in reducing depressive symptoms</w:t>
      </w:r>
      <w:r>
        <w:t xml:space="preserve"> </w:t>
      </w:r>
      <w:r>
        <w:t xml:space="preserve">(Oberste et al., 2020)</w:t>
      </w:r>
      <w:r>
        <w:t xml:space="preserve">. Second, 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 Further, although we adjusted our analyses for several important confounders and we addressed the challenge of selection bias thoroughly by multiple imputation and sensitivity analyses, we cannot exclude the possibility that residual sampling bias and/or other unmeasured factors (e.g., pubertal status or (epi-)genetic influences) may have influenced our results. For instance, the majority of the children included in our samples were of European descent, and these findings may not be generalizable to different populations. Furthermore, shared biological risk factors for depression and obesity (e.g. dysregulation of the hypothalamic-pituitary-adrenal axis, chronic inflammation, or microbiome dysbiosis;</w:t>
      </w:r>
      <w:r>
        <w:t xml:space="preserve"> </w:t>
      </w:r>
      <w:r>
        <w:t xml:space="preserve">(Milaneschi et al., 2019)</w:t>
      </w:r>
      <w:r>
        <w:t xml:space="preserve"> </w:t>
      </w:r>
      <w:r>
        <w:t xml:space="preserve">could potentially mediate the effect of ELS on psycho-physical comorbidity. Finally, our study focused on one aspect of adolescent mental health, i.e. internalizing symptoms, that is most predictive of future depression/anxiety problems. However, other measures of adolescent behaviour, e.g., externalizing problems, could represent interesting targets for future studies in the field.</w:t>
      </w:r>
    </w:p>
    <w:p>
      <w:pPr>
        <w:pStyle w:val="BodyText"/>
      </w:pPr>
      <w:r>
        <w:t xml:space="preserve">In conclusion, several international guidelines and policies already acknowledge the importance of lifestyle interventions not only for the obesity and poor cardiovascular health crisis, but also with respect to their protective effects against poor mental health</w:t>
      </w:r>
      <w:r>
        <w:t xml:space="preserve"> </w:t>
      </w:r>
      <w:r>
        <w:t xml:space="preserve">(Australian Department of Health, 2014; D. of Health &amp; Social Care, 2011; N. I. for Health &amp; Care Excellence, 2015; Stubbs et al., 2018; Tremblay et al., 2016)</w:t>
      </w:r>
      <w:r>
        <w:t xml:space="preserve">. Although the current study reports a lack of influence from lifestyle factors, a non-significant interaction should not be interpreted as evidence that adopting a healthy lifestyle is ineffective in mitigating the detrimental consequences of ELS on comorbid internalizing and adiposity in childhood. Instead, our study further emphasizes the need for the investigation of early comorbidity prevention strategies that target children who have experienced ELS, and that more research is warranted to examine the potential moderating effects of a wider range of lifestyle behaviours. </w:t>
      </w:r>
    </w:p>
    <w:bookmarkStart w:id="273" w:name="conclusions"/>
    <w:p>
      <w:pPr>
        <w:pStyle w:val="Heading3"/>
      </w:pPr>
      <w:r>
        <w:t xml:space="preserve">Conclusions</w:t>
      </w:r>
    </w:p>
    <w:p>
      <w:pPr>
        <w:pStyle w:val="FirstParagraph"/>
      </w:pPr>
      <w:r>
        <w:t xml:space="preserve">Our study could not detect convincing evidence in support of the hypothesis that the detrimental effects of ELS on psycho-physical comorbidity risk may be attenuated by adopting healthier lifestyle habits in childhood. We found some suggestive evidence that engaging in more frequent physical activity may reduce the risk for comorbidity, irrespective of stress exposure levels. If confirmed in future studies, this set of findings could highlight the need for more comorbidity prevention efforts focused on reducing ELS, in addition to current intervention programmes that focus on lifestyle behaviours such as physical activity.</w:t>
      </w:r>
    </w:p>
    <w:bookmarkEnd w:id="273"/>
    <w:bookmarkEnd w:id="274"/>
    <w:bookmarkStart w:id="377" w:name="references-2"/>
    <w:p>
      <w:pPr>
        <w:pStyle w:val="Heading2"/>
      </w:pPr>
      <w:r>
        <w:t xml:space="preserve">References</w:t>
      </w:r>
    </w:p>
    <w:bookmarkStart w:id="376" w:name="refs--3"/>
    <w:bookmarkStart w:id="276"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276"/>
    <w:bookmarkStart w:id="277"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77"/>
    <w:bookmarkStart w:id="278"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78"/>
    <w:bookmarkStart w:id="280" w:name="ref-AustralianDepartmentofHealth2014"/>
    <w:p>
      <w:pPr>
        <w:pStyle w:val="BodyText"/>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280"/>
    <w:bookmarkStart w:id="282"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282"/>
    <w:bookmarkStart w:id="283"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283"/>
    <w:bookmarkStart w:id="285"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285"/>
    <w:bookmarkStart w:id="287"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287"/>
    <w:bookmarkStart w:id="289" w:name="ref-Bull2020"/>
    <w:p>
      <w:pPr>
        <w:pStyle w:val="BodyText"/>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289"/>
    <w:bookmarkStart w:id="291"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291"/>
    <w:bookmarkStart w:id="293" w:name="ref-Choi2019"/>
    <w:p>
      <w:pPr>
        <w:pStyle w:val="BodyText"/>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293"/>
    <w:bookmarkStart w:id="295" w:name="ref-Choi2020"/>
    <w:p>
      <w:pPr>
        <w:pStyle w:val="BodyText"/>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295"/>
    <w:bookmarkStart w:id="297"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297"/>
    <w:bookmarkStart w:id="298"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298"/>
    <w:bookmarkStart w:id="299"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299"/>
    <w:bookmarkStart w:id="30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300"/>
    <w:bookmarkStart w:id="302"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302"/>
    <w:bookmarkStart w:id="304"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304"/>
    <w:bookmarkStart w:id="306"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306"/>
    <w:bookmarkStart w:id="308"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308"/>
    <w:bookmarkStart w:id="30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09"/>
    <w:bookmarkStart w:id="311"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311"/>
    <w:bookmarkStart w:id="312"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312"/>
    <w:bookmarkStart w:id="31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313"/>
    <w:bookmarkStart w:id="314"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314"/>
    <w:bookmarkStart w:id="316" w:name="ref-He2021"/>
    <w:p>
      <w:pPr>
        <w:pStyle w:val="BodyText"/>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316"/>
    <w:bookmarkStart w:id="318" w:name="ref-UKDepartmentofHealth2011"/>
    <w:p>
      <w:pPr>
        <w:pStyle w:val="BodyText"/>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318"/>
    <w:bookmarkStart w:id="320" w:name="ref-NICE2015"/>
    <w:p>
      <w:pPr>
        <w:pStyle w:val="BodyText"/>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320"/>
    <w:bookmarkStart w:id="322" w:name="ref-Henchoz2019"/>
    <w:p>
      <w:pPr>
        <w:pStyle w:val="BodyText"/>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322"/>
    <w:bookmarkStart w:id="324"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324"/>
    <w:bookmarkStart w:id="325"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325"/>
    <w:bookmarkStart w:id="327" w:name="ref-Katikireddi2017"/>
    <w:p>
      <w:pPr>
        <w:pStyle w:val="BodyText"/>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327"/>
    <w:bookmarkStart w:id="328"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328"/>
    <w:bookmarkStart w:id="330"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330"/>
    <w:bookmarkStart w:id="332"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332"/>
    <w:bookmarkStart w:id="334"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334"/>
    <w:bookmarkStart w:id="335"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335"/>
    <w:bookmarkStart w:id="336"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36"/>
    <w:bookmarkStart w:id="338"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338"/>
    <w:bookmarkStart w:id="340"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340"/>
    <w:bookmarkStart w:id="342"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342"/>
    <w:bookmarkStart w:id="344" w:name="ref-Paruthi2016"/>
    <w:p>
      <w:pPr>
        <w:pStyle w:val="BodyText"/>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344"/>
    <w:bookmarkStart w:id="345"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45"/>
    <w:bookmarkStart w:id="34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346"/>
    <w:bookmarkStart w:id="348"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348"/>
    <w:bookmarkStart w:id="350" w:name="ref-Schuch2018"/>
    <w:p>
      <w:pPr>
        <w:pStyle w:val="BodyText"/>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350"/>
    <w:bookmarkStart w:id="352"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352"/>
    <w:bookmarkStart w:id="354"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354"/>
    <w:bookmarkStart w:id="356"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356"/>
    <w:bookmarkStart w:id="357"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357"/>
    <w:bookmarkStart w:id="359" w:name="ref-Stubbs2018"/>
    <w:p>
      <w:pPr>
        <w:pStyle w:val="BodyText"/>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359"/>
    <w:bookmarkStart w:id="361"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361"/>
    <w:bookmarkStart w:id="363" w:name="ref-Tomasdottir2015"/>
    <w:p>
      <w:pPr>
        <w:pStyle w:val="BodyText"/>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363"/>
    <w:bookmarkStart w:id="365" w:name="ref-Tremblay2016"/>
    <w:p>
      <w:pPr>
        <w:pStyle w:val="BodyText"/>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365"/>
    <w:bookmarkStart w:id="367"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367"/>
    <w:bookmarkStart w:id="369"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369"/>
    <w:bookmarkStart w:id="371"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371"/>
    <w:bookmarkStart w:id="373"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373"/>
    <w:bookmarkStart w:id="375" w:name="ref-Zhai2015"/>
    <w:p>
      <w:pPr>
        <w:pStyle w:val="BodyText"/>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375"/>
    <w:bookmarkEnd w:id="376"/>
    <w:bookmarkEnd w:id="377"/>
    <w:bookmarkEnd w:id="378"/>
    <w:bookmarkStart w:id="384"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79"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79"/>
    <w:bookmarkStart w:id="380" w:name="introduction-2"/>
    <w:p>
      <w:pPr>
        <w:pStyle w:val="Heading2"/>
      </w:pPr>
      <w:r>
        <w:t xml:space="preserve">4.1 Introduction</w:t>
      </w:r>
    </w:p>
    <w:bookmarkEnd w:id="380"/>
    <w:bookmarkStart w:id="381" w:name="methods-2"/>
    <w:p>
      <w:pPr>
        <w:pStyle w:val="Heading2"/>
      </w:pPr>
      <w:r>
        <w:t xml:space="preserve">4.2 Methods</w:t>
      </w:r>
    </w:p>
    <w:bookmarkEnd w:id="381"/>
    <w:bookmarkStart w:id="382" w:name="discussion-2"/>
    <w:p>
      <w:pPr>
        <w:pStyle w:val="Heading2"/>
      </w:pPr>
      <w:r>
        <w:t xml:space="preserve">4.3 Discussion</w:t>
      </w:r>
    </w:p>
    <w:bookmarkEnd w:id="382"/>
    <w:bookmarkStart w:id="383" w:name="references-3"/>
    <w:p>
      <w:pPr>
        <w:pStyle w:val="Heading2"/>
      </w:pPr>
      <w:r>
        <w:t xml:space="preserve">References</w:t>
      </w:r>
    </w:p>
    <w:bookmarkEnd w:id="383"/>
    <w:bookmarkEnd w:id="384"/>
    <w:bookmarkStart w:id="394"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85"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5"/>
    <w:bookmarkStart w:id="386"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86"/>
    <w:bookmarkStart w:id="387" w:name="methods-3"/>
    <w:p>
      <w:pPr>
        <w:pStyle w:val="Heading2"/>
      </w:pPr>
      <w:r>
        <w:t xml:space="preserve">5.2 Methods</w:t>
      </w:r>
    </w:p>
    <w:bookmarkEnd w:id="387"/>
    <w:bookmarkStart w:id="388" w:name="discussion-3"/>
    <w:p>
      <w:pPr>
        <w:pStyle w:val="Heading2"/>
      </w:pPr>
      <w:r>
        <w:t xml:space="preserve">5.3 Discussion</w:t>
      </w:r>
    </w:p>
    <w:bookmarkEnd w:id="388"/>
    <w:bookmarkStart w:id="389" w:name="references-4"/>
    <w:p>
      <w:pPr>
        <w:pStyle w:val="Heading2"/>
      </w:pPr>
      <w:r>
        <w:t xml:space="preserve">References</w:t>
      </w:r>
    </w:p>
    <w:bookmarkEnd w:id="389"/>
    <w:bookmarkStart w:id="393" w:name="bibliography--5"/>
    <w:p>
      <w:pPr>
        <w:pStyle w:val="Heading2"/>
      </w:pPr>
      <w:r>
        <w:t xml:space="preserve">References</w:t>
      </w:r>
    </w:p>
    <w:bookmarkStart w:id="392" w:name="refs--5"/>
    <w:bookmarkStart w:id="390"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390"/>
    <w:bookmarkStart w:id="391"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91"/>
    <w:bookmarkEnd w:id="392"/>
    <w:bookmarkEnd w:id="393"/>
    <w:bookmarkEnd w:id="394"/>
    <w:bookmarkStart w:id="497"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in press</w:t>
      </w:r>
      <w:r>
        <w:t xml:space="preserve">)</w:t>
      </w:r>
      <w:r>
        <w:t xml:space="preserve"> </w:t>
      </w:r>
      <w:r>
        <w:rPr>
          <w:i/>
          <w:iCs/>
        </w:rPr>
        <w:t xml:space="preserve">Journal of Child Psychology and Psychiatry</w:t>
      </w:r>
      <w:r>
        <w:t xml:space="preserve"> </w:t>
      </w:r>
      <w:hyperlink r:id="rId395">
        <w:r>
          <w:rPr>
            <w:rStyle w:val="Hyperlink"/>
          </w:rPr>
          <w:t xml:space="preserve">DOI</w:t>
        </w:r>
      </w:hyperlink>
    </w:p>
    <w:bookmarkStart w:id="396" w:name="abstract-4"/>
    <w:p>
      <w:pPr>
        <w:pStyle w:val="Heading2"/>
      </w:pPr>
      <w:r>
        <w:t xml:space="preserve">Abstract</w:t>
      </w:r>
    </w:p>
    <w:p>
      <w:pPr>
        <w:pStyle w:val="FirstParagraph"/>
      </w:pPr>
      <w:r>
        <w:rPr>
          <w:u w:val="single"/>
        </w:rPr>
        <w:t xml:space="preserve">Background</w:t>
      </w:r>
      <w:r>
        <w:t xml:space="preserve">: Depressive symptoms and cardio-metabolic risk factors often co-occur. However, our understanding of the potential mechanisms and temporal dynamics underlying their co-development remains elusive.</w:t>
      </w:r>
    </w:p>
    <w:p>
      <w:pPr>
        <w:pStyle w:val="BodyText"/>
      </w:pPr>
      <w:r>
        <w:rPr>
          <w:u w:val="single"/>
        </w:rPr>
        <w:t xml:space="preserve">Methods</w:t>
      </w:r>
      <w:r>
        <w:t xml:space="preserve">: This population-based cohort study examined bidirectional longitudinal associations between depressive symptoms and cardio-metabolic risk factors from age 10 to 25 years, using prospective data from the ALSPAC Study. Participants with at least one (of six) follow-up measurement for each outcome were included in the analyses. We measured depressive symptoms through self- as well as parent-reports, and assessed several cardio-metabolic risk factors (including adiposity measures, lipid profiles and inflammation).</w:t>
      </w:r>
    </w:p>
    <w:p>
      <w:pPr>
        <w:pStyle w:val="BodyText"/>
      </w:pPr>
      <w:r>
        <w:rPr>
          <w:u w:val="single"/>
        </w:rPr>
        <w:t xml:space="preserve">Results</w:t>
      </w:r>
      <w:r>
        <w:t xml:space="preserve">: Among our 7970 (47% male, 96% White) participants, we found bidirectional, within-person associations between self-reported depressive symptoms and adiposity (i.e., fat/lean mass index, but not body mass index), across the study period. Adiposity was more stable over time (</w:t>
      </w:r>
      <w:r>
        <w:rPr>
          <w:i/>
          <w:iCs/>
        </w:rPr>
        <w:t xml:space="preserve">β</w:t>
      </w:r>
      <w:r>
        <w:t xml:space="preserve"> </w:t>
      </w:r>
      <w:r>
        <w:t xml:space="preserve">[range] = 0.75 [0.54; 0.84]), compared to depressive symptoms (0.26 [0.12; 0.38]), and it had a stronger prospective (i.e., cross-lagged) association with future depressive symptoms (0.07 [0.03, 0.13]) compared to that between depressive symptom and future adiposity (0.04 [0.03, 0.06]). The magnitude of these associations reached its peak between 14 and 16 years. We did not find evidence of cross-lagged associations in either direction between depressive symptoms and waist circumference, insulin, triglycerides, LDL cholesterol or C-reactive protein.</w:t>
      </w:r>
    </w:p>
    <w:p>
      <w:pPr>
        <w:pStyle w:val="BodyText"/>
      </w:pPr>
      <w:r>
        <w:rPr>
          <w:u w:val="single"/>
        </w:rPr>
        <w:t xml:space="preserve">Conclusions</w:t>
      </w:r>
      <w:r>
        <w:t xml:space="preserve">: These findings suggest a bidirectional relationship between depressive symptoms and cardio-metabolic risk factors, particularly adiposity (i.e., fat/lean mass). Adiposity showed a stronger prospective association with future depressive symptoms, than vice versa, however their relationship revealed more reciprocal than previously thought.</w:t>
      </w:r>
    </w:p>
    <w:bookmarkEnd w:id="396"/>
    <w:bookmarkStart w:id="406" w:name="links-2"/>
    <w:p>
      <w:pPr>
        <w:pStyle w:val="Heading2"/>
      </w:pPr>
      <w:r>
        <w:t xml:space="preserve">Links</w:t>
      </w:r>
    </w:p>
    <w:p>
      <w:pPr>
        <w:pStyle w:val="FirstParagraph"/>
      </w:pPr>
      <w:r>
        <w:rPr>
          <w:b/>
          <w:bCs/>
        </w:rPr>
        <w:t xml:space="preserve">Web application</w:t>
      </w:r>
      <w:r>
        <w:t xml:space="preserve">: https://longit-comorbidity.onrender.com</w:t>
      </w:r>
      <w:r>
        <w:t xml:space="preserve"> </w:t>
      </w:r>
      <w:r>
        <w:drawing>
          <wp:inline>
            <wp:extent cx="1188720" cy="1188720"/>
            <wp:effectExtent b="0" l="0" r="0" t="0"/>
            <wp:docPr descr="" title="" id="398" name="Picture"/>
            <a:graphic>
              <a:graphicData uri="http://schemas.openxmlformats.org/drawingml/2006/picture">
                <pic:pic>
                  <pic:nvPicPr>
                    <pic:cNvPr descr="6.Chapter/../img/qrcode_chap6_app.png" id="399" name="Picture"/>
                    <pic:cNvPicPr>
                      <a:picLocks noChangeArrowheads="1" noChangeAspect="1"/>
                    </pic:cNvPicPr>
                  </pic:nvPicPr>
                  <pic:blipFill>
                    <a:blip r:embed="rId3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Supplementary materials</w:t>
      </w:r>
      <w:r>
        <w:t xml:space="preserve">: https://osf.io/wyzd8</w:t>
      </w:r>
      <w:r>
        <w:t xml:space="preserve"> </w:t>
      </w:r>
      <w:r>
        <w:drawing>
          <wp:inline>
            <wp:extent cx="1188720" cy="1188720"/>
            <wp:effectExtent b="0" l="0" r="0" t="0"/>
            <wp:docPr descr="" title="" id="401" name="Picture"/>
            <a:graphic>
              <a:graphicData uri="http://schemas.openxmlformats.org/drawingml/2006/picture">
                <pic:pic>
                  <pic:nvPicPr>
                    <pic:cNvPr descr="6.Chapter/../img/qrcode_supp6.png" id="402" name="Picture"/>
                    <pic:cNvPicPr>
                      <a:picLocks noChangeArrowheads="1" noChangeAspect="1"/>
                    </pic:cNvPicPr>
                  </pic:nvPicPr>
                  <pic:blipFill>
                    <a:blip r:embed="rId40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https://github.com/SereDef/comorb-longit-project</w:t>
      </w:r>
      <w:r>
        <w:t xml:space="preserve"> </w:t>
      </w:r>
      <w:r>
        <w:drawing>
          <wp:inline>
            <wp:extent cx="1188720" cy="1188720"/>
            <wp:effectExtent b="0" l="0" r="0" t="0"/>
            <wp:docPr descr="" title="" id="404" name="Picture"/>
            <a:graphic>
              <a:graphicData uri="http://schemas.openxmlformats.org/drawingml/2006/picture">
                <pic:pic>
                  <pic:nvPicPr>
                    <pic:cNvPr descr="6.Chapter/../img/qrcode_chap6_repo.png" id="405" name="Picture"/>
                    <pic:cNvPicPr>
                      <a:picLocks noChangeArrowheads="1" noChangeAspect="1"/>
                    </pic:cNvPicPr>
                  </pic:nvPicPr>
                  <pic:blipFill>
                    <a:blip r:embed="rId40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Pre-print</w:t>
      </w:r>
      <w:r>
        <w:t xml:space="preserve">: https://www.medrxiv.org/content/10.1101/2024.10.01.24314697v1</w:t>
      </w:r>
    </w:p>
    <w:bookmarkEnd w:id="406"/>
    <w:bookmarkStart w:id="407" w:name="keywords-2"/>
    <w:p>
      <w:pPr>
        <w:pStyle w:val="Heading2"/>
      </w:pPr>
      <w:r>
        <w:t xml:space="preserve">Keywords</w:t>
      </w:r>
    </w:p>
    <w:p>
      <w:pPr>
        <w:pStyle w:val="FirstParagraph"/>
      </w:pPr>
      <w:r>
        <w:t xml:space="preserve">Depressive symptoms; Cardio-metabolic risk; Comorbidity; Longitudinal; ALSPAC.</w:t>
      </w:r>
    </w:p>
    <w:bookmarkEnd w:id="407"/>
    <w:bookmarkStart w:id="408" w:name="abbreviations-2"/>
    <w:p>
      <w:pPr>
        <w:pStyle w:val="Heading2"/>
      </w:pPr>
      <w:r>
        <w:t xml:space="preserve">Abbreviations</w:t>
      </w:r>
    </w:p>
    <w:p>
      <w:pPr>
        <w:pStyle w:val="FirstParagraph"/>
      </w:pPr>
      <w:r>
        <w:t xml:space="preserve">Avon Longitudinal Study of Adults and Children (ALSPAC), Autoregressive Latent Trajectory Model with Structured Residuals (ALT-SR), Body Mass Index (BMI), C-reactive protein (CRP), Fat Mass Index (FMI), High- / Low-Density Lipoprotein (HDL / LDL [cholesterol]), Lean Mass Index (LMI), Random-Intercept Cross-Lag Panel Model (RI-CLPM), Short Mood and Feelings Questionnaire (SMFQ).</w:t>
      </w:r>
    </w:p>
    <w:bookmarkEnd w:id="408"/>
    <w:bookmarkStart w:id="409" w:name="introduction-4"/>
    <w:p>
      <w:pPr>
        <w:pStyle w:val="Heading2"/>
      </w:pPr>
      <w:r>
        <w:t xml:space="preserve">6.1 Introduction</w:t>
      </w:r>
    </w:p>
    <w:p>
      <w:pPr>
        <w:pStyle w:val="FirstParagraph"/>
      </w:pPr>
      <w:r>
        <w:t xml:space="preserve">Over 20% of the general population faces at least one depressive episode in their lifetime</w:t>
      </w:r>
      <w:r>
        <w:t xml:space="preserve"> </w:t>
      </w:r>
      <w:r>
        <w:t xml:space="preserve">(Gutiérrez-Rojas et al., 2020)</w:t>
      </w:r>
      <w:r>
        <w:t xml:space="preserve"> </w:t>
      </w:r>
      <w:r>
        <w:t xml:space="preserve">and a growing number of adolescents experience depressive symptoms before the age of 20 years</w:t>
      </w:r>
      <w:r>
        <w:t xml:space="preserve"> </w:t>
      </w:r>
      <w:r>
        <w:t xml:space="preserve">(Keeley, 2021; Patalay &amp; Gage, 2019)</w:t>
      </w:r>
      <w:r>
        <w:t xml:space="preserve">. Concurrently, the prevalence of child obesity and related cardio-metabolic risk factors is alarmingly high, affecting one in three children and almost half of young adults</w:t>
      </w:r>
      <w:r>
        <w:t xml:space="preserve"> </w:t>
      </w:r>
      <w:r>
        <w:t xml:space="preserve">(NCD-RisC, 2017; WHO, 2022)</w:t>
      </w:r>
      <w:r>
        <w:t xml:space="preserve">. Moreover, depressive symptoms and cardio-metabolic risk factors often co-occur</w:t>
      </w:r>
      <w:r>
        <w:t xml:space="preserve"> </w:t>
      </w:r>
      <w:r>
        <w:t xml:space="preserve">(Anwar et al., 2018; Blasco et al., 2020; Gutiérrez-Rojas et al., 2020)</w:t>
      </w:r>
      <w:r>
        <w:t xml:space="preserve">. For example, a large meta-analysis showed that people suffering from depression had a 58% higher risk of developing obesity, while individuals with obesity had a 55% elevated risk of developing depression, compared to the general population</w:t>
      </w:r>
      <w:r>
        <w:t xml:space="preserve"> </w:t>
      </w:r>
      <w:r>
        <w:t xml:space="preserve">(Luppino et al., 2010)</w:t>
      </w:r>
      <w:r>
        <w:t xml:space="preserve">.</w:t>
      </w:r>
    </w:p>
    <w:p>
      <w:pPr>
        <w:pStyle w:val="BodyText"/>
      </w:pPr>
      <w:r>
        <w:t xml:space="preserve">Several potential mechanisms have been proposed to explain this observed comorbidity, both in adults</w:t>
      </w:r>
      <w:r>
        <w:t xml:space="preserve"> </w:t>
      </w:r>
      <w:r>
        <w:t xml:space="preserve">(Carey et al., 2014; Milaneschi et al., 2019)</w:t>
      </w:r>
      <w:r>
        <w:t xml:space="preserve"> </w:t>
      </w:r>
      <w:r>
        <w:t xml:space="preserve">and children</w:t>
      </w:r>
      <w:r>
        <w:t xml:space="preserve"> </w:t>
      </w:r>
      <w:r>
        <w:t xml:space="preserve">(Defina et al., 2023; Sutaria et al., 2019)</w:t>
      </w:r>
      <w:r>
        <w:t xml:space="preserve">. However, scientific efforts to empirically model the co-developmental processes that may underlie this comorbidity (i.e., temporal precedence and/or bidirectional relationships) have been sparse, inconsistent, and mostly focused on adult or aging populations</w:t>
      </w:r>
      <w:r>
        <w:t xml:space="preserve"> </w:t>
      </w:r>
      <w:r>
        <w:t xml:space="preserve">(Forman-Hoffman et al., 2007; Konttinen et al., 2014)</w:t>
      </w:r>
      <w:r>
        <w:t xml:space="preserve"> </w:t>
      </w:r>
      <w:r>
        <w:t xml:space="preserve">and/or genetic liabilities</w:t>
      </w:r>
      <w:r>
        <w:t xml:space="preserve"> </w:t>
      </w:r>
      <w:r>
        <w:t xml:space="preserve">(Chen et al., 2023; Jokela &amp; Laakasuo, 2023)</w:t>
      </w:r>
      <w:r>
        <w:t xml:space="preserve">.</w:t>
      </w:r>
    </w:p>
    <w:p>
      <w:pPr>
        <w:pStyle w:val="BodyText"/>
      </w:pPr>
      <w:r>
        <w:t xml:space="preserve">In the pediatric literature, a small number of studies have investigated longitudinal relationships between body mass index (BMI) and internalizing / emotional problems (an early marker of depressive symptoms)</w:t>
      </w:r>
      <w:r>
        <w:t xml:space="preserve"> </w:t>
      </w:r>
      <w:r>
        <w:t xml:space="preserve">(Bradley et al., 2008; Jansen et al., 2013; Patalay &amp; Gage, 2019; N. Zhou et al., 2022)</w:t>
      </w:r>
      <w:r>
        <w:t xml:space="preserve">. The majority of these studies found higher BMI to precede increases in internalizing symptoms, but not the other way around</w:t>
      </w:r>
      <w:r>
        <w:t xml:space="preserve"> </w:t>
      </w:r>
      <w:r>
        <w:t xml:space="preserve">(Bradley et al., 2008; Jansen et al., 2013; Patalay &amp; Gage, 2019)</w:t>
      </w:r>
      <w:r>
        <w:t xml:space="preserve">, in line with some (but not all, e.g.</w:t>
      </w:r>
      <w:r>
        <w:t xml:space="preserve"> </w:t>
      </w:r>
      <w:r>
        <w:t xml:space="preserve">Chen et al. (2023)</w:t>
      </w:r>
      <w:r>
        <w:t xml:space="preserve">) Mendelian randomization studies investigating the causal effect of obesity on depression</w:t>
      </w:r>
      <w:r>
        <w:t xml:space="preserve"> </w:t>
      </w:r>
      <w:r>
        <w:t xml:space="preserve">(Jokela &amp; Laakasuo, 2023)</w:t>
      </w:r>
      <w:r>
        <w:t xml:space="preserve">. A more recent investigation however, did identify reciprocal relationships between BMI and internalizing symptoms, by employing more advanced modeling frameworks, capable of decomposing between- and within-person variances over time</w:t>
      </w:r>
      <w:r>
        <w:t xml:space="preserve"> </w:t>
      </w:r>
      <w:r>
        <w:t xml:space="preserve">(N. Zhou et al., 2022)</w:t>
      </w:r>
      <w:r>
        <w:t xml:space="preserve">.</w:t>
      </w:r>
    </w:p>
    <w:p>
      <w:pPr>
        <w:pStyle w:val="BodyText"/>
      </w:pPr>
      <w:r>
        <w:t xml:space="preserve">Importantly, while changes in fat mass are hypothesized to be a key mechanism in these studies, they rely exclusively on BMI measures, which cannot discriminate between fat mass and lean (e.g. muscle) mass, and are thus a suboptimal measure of cardio-metabolic risk</w:t>
      </w:r>
      <w:r>
        <w:t xml:space="preserve"> </w:t>
      </w:r>
      <w:r>
        <w:t xml:space="preserve">(Dencker et al., 2007; Liu et al., 2013; Vanderwall et al., 2017)</w:t>
      </w:r>
      <w:r>
        <w:t xml:space="preserve">. Moreover, existing evidence largely relies on parental reports of depressive symptoms, which may be less sensitive compared to self-reports</w:t>
      </w:r>
      <w:r>
        <w:t xml:space="preserve"> </w:t>
      </w:r>
      <w:r>
        <w:t xml:space="preserve">(Cohen et al., 2019)</w:t>
      </w:r>
      <w:r>
        <w:t xml:space="preserve">. Finally, these studies only investigated relatively short follow-up periods and early developmental windows (i.e., 1 to 5 years, from childhood to early adolescence), leaving the period between adolescence to young adulthood, which is when these conditions typically find their onset, largely unexplored.</w:t>
      </w:r>
    </w:p>
    <w:p>
      <w:pPr>
        <w:pStyle w:val="BodyText"/>
      </w:pPr>
      <w:r>
        <w:t xml:space="preserve">To address these gaps, we aimed to characterize the temporal dynamics underlying the (co-)development of depressive symptoms and cardio-metabolic risk as they unfold jointly across 15 years, from the age of 10 to 25 years. We investigated several cardio-metabolic risk factors (including total fat and lean mass) and multi-informant reports on depressive symptoms.</w:t>
      </w:r>
    </w:p>
    <w:p>
      <w:pPr>
        <w:pStyle w:val="BodyText"/>
      </w:pPr>
      <w:r>
        <w:t xml:space="preserve">In the spirit of open science, we also provide an open-source interactive web-application that can be used, alongside this article, to flexibly explore our results and verify their robustness across multiple outcomes and analytical choices.</w:t>
      </w:r>
    </w:p>
    <w:bookmarkEnd w:id="409"/>
    <w:bookmarkStart w:id="424" w:name="methods-4"/>
    <w:p>
      <w:pPr>
        <w:pStyle w:val="Heading2"/>
      </w:pPr>
      <w:r>
        <w:t xml:space="preserve">6.2 Methods</w:t>
      </w:r>
    </w:p>
    <w:bookmarkStart w:id="415" w:name="sample-and-measures"/>
    <w:p>
      <w:pPr>
        <w:pStyle w:val="Heading3"/>
      </w:pPr>
      <w:r>
        <w:t xml:space="preserve">Sample and measures</w:t>
      </w:r>
    </w:p>
    <w:p>
      <w:pPr>
        <w:pStyle w:val="FirstParagraph"/>
      </w:pPr>
      <w:r>
        <w:t xml:space="preserve">This study is based on data from the Avon Longitudinal Study of Parents and Children (ALSPAC). Pregnant women resident in Avon (UK) with expected delivery dates between 1st April 1991 and 31st December 1992 were invited to take part in the study. The initial number of pregnancies enrolled was 14,541, with 13,988 children who were alive at 1 year of age. When children were approximately 7 years old, additional eligible cases were re-invited, resulting in a total sample of 15,447 pregnancies and 14,901 children who were alive at 1 year of age</w:t>
      </w:r>
      <w:r>
        <w:t xml:space="preserve"> </w:t>
      </w:r>
      <w:r>
        <w:t xml:space="preserve">(Boyd et al., 2012; Fraser et al., 2013; Northstone et al., 2019)</w:t>
      </w:r>
      <w:r>
        <w:t xml:space="preserve">. Study data were collected and managed using REDCap electronic data capture tools hosted at the University of Bristol</w:t>
      </w:r>
      <w:r>
        <w:t xml:space="preserve"> </w:t>
      </w:r>
      <w:r>
        <w:t xml:space="preserve">(Harris et al., 2009)</w:t>
      </w:r>
      <w:r>
        <w:t xml:space="preserve">. Please note that the ALSPAC website contains details of all the data that is available through a fully searchable data dictionary and variable search tool (http://www.bristol.ac.uk/alspac/researchers/our-data/).</w:t>
      </w:r>
    </w:p>
    <w:bookmarkStart w:id="410" w:name="ethical-considerations"/>
    <w:p>
      <w:pPr>
        <w:pStyle w:val="Heading4"/>
      </w:pPr>
      <w:r>
        <w:t xml:space="preserve">Ethical considerations</w:t>
      </w:r>
    </w:p>
    <w:p>
      <w:pPr>
        <w:pStyle w:val="FirstParagraph"/>
      </w:pPr>
      <w:r>
        <w:t xml:space="preserve">Ethical approval for the study was obtained from the ALSPAC Ethics and Law Committee and the Local Research Ethics Committees. Informed consent was obtained from participants’ parents.</w:t>
      </w:r>
    </w:p>
    <w:bookmarkEnd w:id="410"/>
    <w:bookmarkStart w:id="411" w:name="depressive-symptoms"/>
    <w:p>
      <w:pPr>
        <w:pStyle w:val="Heading4"/>
      </w:pPr>
      <w:r>
        <w:t xml:space="preserve">Depressive symptoms</w:t>
      </w:r>
    </w:p>
    <w:p>
      <w:pPr>
        <w:pStyle w:val="FirstParagraph"/>
      </w:pPr>
      <w:r>
        <w:t xml:space="preserve">Depressive symptoms were repeatedly measured using the Short Mood and Feelings Questionnaire (SMFQ)</w:t>
      </w:r>
      <w:r>
        <w:t xml:space="preserve"> </w:t>
      </w:r>
      <w:r>
        <w:t xml:space="preserve">(Angold et al., 1995; Kwong, 2019)</w:t>
      </w:r>
      <w:r>
        <w:t xml:space="preserve">. The instrument includes 13 items referred to the past two weeks and scored between 0–2 (i.e.,</w:t>
      </w:r>
      <w:r>
        <w:t xml:space="preserve"> </w:t>
      </w:r>
      <w:r>
        <w:rPr>
          <w:i/>
          <w:iCs/>
        </w:rPr>
        <w:t xml:space="preserve">“not true”</w:t>
      </w:r>
      <w:r>
        <w:t xml:space="preserve"> </w:t>
      </w:r>
      <w:r>
        <w:t xml:space="preserve">/</w:t>
      </w:r>
      <w:r>
        <w:t xml:space="preserve"> </w:t>
      </w:r>
      <w:r>
        <w:rPr>
          <w:i/>
          <w:iCs/>
        </w:rPr>
        <w:t xml:space="preserve">“sometimes true”</w:t>
      </w:r>
      <w:r>
        <w:t xml:space="preserve"> </w:t>
      </w:r>
      <w:r>
        <w:t xml:space="preserve">/</w:t>
      </w:r>
      <w:r>
        <w:t xml:space="preserve"> </w:t>
      </w:r>
      <w:r>
        <w:rPr>
          <w:i/>
          <w:iCs/>
        </w:rPr>
        <w:t xml:space="preserve">“true”</w:t>
      </w:r>
      <w:r>
        <w:t xml:space="preserve">). A summary score ranging between 0–26 was computed at each occasion, with higher scores indicating greater depressive symptoms (</w:t>
      </w:r>
      <w:hyperlink w:anchor="fig-6.1">
        <w:r>
          <w:rPr>
            <w:rStyle w:val="Hyperlink"/>
          </w:rPr>
          <w:t xml:space="preserve">Figure 6.1</w:t>
        </w:r>
      </w:hyperlink>
      <w:r>
        <w:t xml:space="preserve"> </w:t>
      </w:r>
      <w:r>
        <w:t xml:space="preserve">A). The SMFQ was administered to the child/young person on six occasions between the ages of 10 and 25 years (at the median ages of 10.6, 12.8, 13.8, 16.6, 17.8, and 23.8 years). The questionnaire was also completed by participants’ parents (most commonly mothers) on four additional occasions (when children were on average 9.6, 11.7, 31.1, and 16.7 years old) which were used in secondary analyses.</w:t>
      </w:r>
    </w:p>
    <w:bookmarkEnd w:id="411"/>
    <w:bookmarkStart w:id="413" w:name="cardio-metabolic-risk-markers"/>
    <w:p>
      <w:pPr>
        <w:pStyle w:val="Heading4"/>
      </w:pPr>
      <w:r>
        <w:t xml:space="preserve">Cardio-metabolic risk markers</w:t>
      </w:r>
    </w:p>
    <w:p>
      <w:pPr>
        <w:pStyle w:val="FirstParagraph"/>
      </w:pPr>
      <w:r>
        <w:t xml:space="preserve">The primary cardio-metabolic measure examined in this study was fat mass index (FMI;</w:t>
      </w:r>
      <w:r>
        <w:t xml:space="preserve"> </w:t>
      </w:r>
      <w:hyperlink w:anchor="fig-6.1">
        <w:r>
          <w:rPr>
            <w:rStyle w:val="Hyperlink"/>
          </w:rPr>
          <w:t xml:space="preserve">Figure 6.1</w:t>
        </w:r>
      </w:hyperlink>
      <w:r>
        <w:t xml:space="preserve"> </w:t>
      </w:r>
      <w:r>
        <w:t xml:space="preserve">B), computed as participants’ total body fat mass divided by their squared height (kg/m2). Total body fat mass was derived from whole body dual energy X-ray absorptiometry (DXA) scans at six occasions (at median ages of 9.8, 11.8, 13.8, 15.4, 17.8, and 24.5 years)</w:t>
      </w:r>
      <w:r>
        <w:t xml:space="preserve"> </w:t>
      </w:r>
      <w:r>
        <w:t xml:space="preserve">(Dangardt et al., 2019)</w:t>
      </w:r>
      <w:r>
        <w:t xml:space="preserve">.</w:t>
      </w:r>
    </w:p>
    <w:p>
      <w:pPr>
        <w:pStyle w:val="BodyText"/>
      </w:pPr>
      <w:r>
        <w:t xml:space="preserve">Ten other cardio-metabolic risk factors were further examined in secondary analyses, including lean mass index (LMI), body mass index (BMI), waist circumference, android fat mass, high-density lipoprotein (HDL) and low-density lipoprotein (LDL) cholesterol levels, triglycerides, insulin, and C-reactive protein (CRP) (see [</w:t>
      </w:r>
      <w:r>
        <w:rPr>
          <w:i/>
          <w:iCs/>
        </w:rPr>
        <w:t xml:space="preserve">Appendix S1</w:t>
      </w:r>
      <w:r>
        <w:t xml:space="preserve">](https://osf.io/wyzd8,</w:t>
      </w:r>
      <w:r>
        <w:t xml:space="preserve"> </w:t>
      </w:r>
      <w:hyperlink r:id="rId412">
        <w:r>
          <w:rPr>
            <w:rStyle w:val="Hyperlink"/>
            <w:i/>
            <w:iCs/>
          </w:rPr>
          <w:t xml:space="preserve">Figure S1</w:t>
        </w:r>
      </w:hyperlink>
      <w:r>
        <w:t xml:space="preserve">.</w:t>
      </w:r>
    </w:p>
    <w:bookmarkEnd w:id="413"/>
    <w:bookmarkStart w:id="414" w:name="sample-demographics"/>
    <w:p>
      <w:pPr>
        <w:pStyle w:val="Heading4"/>
      </w:pPr>
      <w:r>
        <w:t xml:space="preserve">Sample demographics</w:t>
      </w:r>
    </w:p>
    <w:p>
      <w:pPr>
        <w:pStyle w:val="FirstParagraph"/>
      </w:pPr>
      <w:r>
        <w:t xml:space="preserve">Participant sex was measured at birth. Participants’ parents further reported on their ethnical identity (at recruitment) and their educational attainment (when children were 5 years old).</w:t>
      </w:r>
    </w:p>
    <w:bookmarkEnd w:id="414"/>
    <w:bookmarkEnd w:id="415"/>
    <w:bookmarkStart w:id="423" w:name="statistical-analyses"/>
    <w:p>
      <w:pPr>
        <w:pStyle w:val="Heading3"/>
      </w:pPr>
      <w:r>
        <w:t xml:space="preserve">Statistical analyses</w:t>
      </w:r>
    </w:p>
    <w:p>
      <w:pPr>
        <w:pStyle w:val="FirstParagraph"/>
      </w:pPr>
      <w:r>
        <w:t xml:space="preserve">Analyses were conducted using R version 4.2.2</w:t>
      </w:r>
      <w:r>
        <w:t xml:space="preserve"> </w:t>
      </w:r>
      <w:r>
        <w:t xml:space="preserve">(R Core Team, 2021)</w:t>
      </w:r>
      <w:r>
        <w:t xml:space="preserve">; model specification and fit was implemented in lavaan (version 0.6–16)</w:t>
      </w:r>
      <w:r>
        <w:t xml:space="preserve"> </w:t>
      </w:r>
      <w:r>
        <w:t xml:space="preserve">(Rosseel, 2012)</w:t>
      </w:r>
      <w:r>
        <w:t xml:space="preserve">. All scripts are publicly available</w:t>
      </w:r>
      <w:r>
        <w:t xml:space="preserve"> </w:t>
      </w:r>
      <w:hyperlink r:id="rId416">
        <w:r>
          <w:rPr>
            <w:rStyle w:val="Hyperlink"/>
          </w:rPr>
          <w:t xml:space="preserve">here</w:t>
        </w:r>
      </w:hyperlink>
      <w:r>
        <w:t xml:space="preserve">.</w:t>
      </w:r>
    </w:p>
    <w:bookmarkStart w:id="418" w:name="data-pre-processing"/>
    <w:p>
      <w:pPr>
        <w:pStyle w:val="Heading4"/>
      </w:pPr>
      <w:r>
        <w:t xml:space="preserve">Data pre-processing</w:t>
      </w:r>
    </w:p>
    <w:p>
      <w:pPr>
        <w:pStyle w:val="FirstParagraph"/>
      </w:pPr>
      <w:r>
        <w:t xml:space="preserve">To ensure optimal model conversion, we first performed data cleaning by setting extreme outlier values (i.e., &gt; 5 interquartile ranges above the third quartile or below the first quartile) to missing. We then transformed the data to reduce skewness, using a square root transformation (for depressive symptoms scores; see</w:t>
      </w:r>
      <w:r>
        <w:t xml:space="preserve"> </w:t>
      </w:r>
      <w:hyperlink w:anchor="fig-6.1">
        <w:r>
          <w:rPr>
            <w:rStyle w:val="Hyperlink"/>
          </w:rPr>
          <w:t xml:space="preserve">Figure 6.1</w:t>
        </w:r>
      </w:hyperlink>
      <w:r>
        <w:t xml:space="preserve"> </w:t>
      </w:r>
      <w:r>
        <w:t xml:space="preserve">A) or a ln transformation (for cardio-metabolic risk markers; see</w:t>
      </w:r>
      <w:r>
        <w:t xml:space="preserve"> </w:t>
      </w:r>
      <w:hyperlink w:anchor="fig-6.1">
        <w:r>
          <w:rPr>
            <w:rStyle w:val="Hyperlink"/>
          </w:rPr>
          <w:t xml:space="preserve">Figure 6.1</w:t>
        </w:r>
      </w:hyperlink>
      <w:r>
        <w:t xml:space="preserve"> </w:t>
      </w:r>
      <w:r>
        <w:t xml:space="preserve">B). Finally, we performed min-max normalization (see</w:t>
      </w:r>
      <w:r>
        <w:t xml:space="preserve"> </w:t>
      </w:r>
      <w:hyperlink w:anchor="eq-normalization">
        <w:r>
          <w:rPr>
            <w:rStyle w:val="Hyperlink"/>
          </w:rPr>
          <w:t xml:space="preserve">Equation 6.1</w:t>
        </w:r>
      </w:hyperlink>
      <w:r>
        <w:t xml:space="preserve">) to rescale of all variables to a [0, 1] range.</w:t>
      </w:r>
    </w:p>
    <w:p>
      <w:pPr>
        <w:pStyle w:val="BodyText"/>
      </w:pPr>
      <w:bookmarkStart w:id="417" w:name="eq-normalization"/>
      <m:oMathPara>
        <m:oMathParaPr>
          <m:jc m:val="center"/>
        </m:oMathParaPr>
        <m:oMath>
          <m:sSub>
            <m:e>
              <m:r>
                <m:t>x</m:t>
              </m:r>
            </m:e>
            <m:sub>
              <m:r>
                <m:t>n</m:t>
              </m:r>
              <m:r>
                <m:t>o</m:t>
              </m:r>
              <m:r>
                <m:t>r</m:t>
              </m:r>
              <m:r>
                <m:t>m</m:t>
              </m:r>
            </m:sub>
          </m:sSub>
          <m:r>
            <m:rPr>
              <m:sty m:val="p"/>
            </m:rPr>
            <m:t>=</m:t>
          </m:r>
          <m:f>
            <m:fPr>
              <m:type m:val="bar"/>
            </m:fPr>
            <m:num>
              <m:r>
                <m:t>x</m:t>
              </m:r>
              <m:r>
                <m:rPr>
                  <m:sty m:val="p"/>
                </m:rPr>
                <m:t>−</m:t>
              </m:r>
              <m:r>
                <m:rPr>
                  <m:sty m:val="p"/>
                </m:rPr>
                <m:t>min</m:t>
              </m:r>
              <m:d>
                <m:dPr>
                  <m:begChr m:val="("/>
                  <m:sepChr m:val=""/>
                  <m:endChr m:val=")"/>
                  <m:grow/>
                </m:dPr>
                <m:e>
                  <m:r>
                    <m:t>x</m:t>
                  </m:r>
                </m:e>
              </m:d>
            </m:num>
            <m:den>
              <m:r>
                <m:rPr>
                  <m:sty m:val="p"/>
                </m:rPr>
                <m:t>max</m:t>
              </m:r>
              <m:d>
                <m:dPr>
                  <m:begChr m:val="("/>
                  <m:sepChr m:val=""/>
                  <m:endChr m:val=")"/>
                  <m:grow/>
                </m:dPr>
                <m:e>
                  <m:r>
                    <m:t>x</m:t>
                  </m:r>
                </m:e>
              </m:d>
              <m:r>
                <m:rPr>
                  <m:sty m:val="p"/>
                </m:rPr>
                <m:t>−</m:t>
              </m:r>
              <m:r>
                <m:rPr>
                  <m:sty m:val="p"/>
                </m:rPr>
                <m:t>min</m:t>
              </m:r>
              <m:d>
                <m:dPr>
                  <m:begChr m:val="("/>
                  <m:sepChr m:val=""/>
                  <m:endChr m:val=")"/>
                  <m:grow/>
                </m:dPr>
                <m:e>
                  <m:r>
                    <m:t>x</m:t>
                  </m:r>
                </m:e>
              </m:d>
            </m:den>
          </m:f>
          <m:r>
            <m:t>  </m:t>
          </m:r>
          <m:d>
            <m:dPr>
              <m:begChr m:val="("/>
              <m:sepChr m:val=""/>
              <m:endChr m:val=")"/>
              <m:grow/>
            </m:dPr>
            <m:e>
              <m:r>
                <m:t>6.1</m:t>
              </m:r>
            </m:e>
          </m:d>
        </m:oMath>
      </m:oMathPara>
      <w:bookmarkEnd w:id="417"/>
    </w:p>
    <w:p>
      <w:pPr>
        <w:pStyle w:val="FirstParagraph"/>
      </w:pPr>
      <w:r>
        <w:t xml:space="preserve">This procedure allowed us to obtain comparable estimates across different units and improve model convergence, while preserving relative differences within each variable over time (e.g. mean variations).</w:t>
      </w:r>
    </w:p>
    <w:bookmarkEnd w:id="418"/>
    <w:bookmarkStart w:id="420" w:name="main-analyses-2"/>
    <w:p>
      <w:pPr>
        <w:pStyle w:val="Heading4"/>
      </w:pPr>
      <w:r>
        <w:t xml:space="preserve">Main analyses</w:t>
      </w:r>
    </w:p>
    <w:p>
      <w:pPr>
        <w:pStyle w:val="FirstParagraph"/>
      </w:pPr>
      <w:r>
        <w:t xml:space="preserve">We fit a lag-1 random-intercept cross-lag panel model (RI-CLPM)</w:t>
      </w:r>
      <w:r>
        <w:t xml:space="preserve"> </w:t>
      </w:r>
      <w:r>
        <w:t xml:space="preserve">(Hamaker et al., 2015)</w:t>
      </w:r>
      <w:r>
        <w:t xml:space="preserve"> </w:t>
      </w:r>
      <w:r>
        <w:t xml:space="preserve">to characterize the relationship between self-reported depressive symptoms and fat mass index across 6 time points (~10, 12, 14, 16, 18 and 24 years). The model was specified as a structural equation model composed of four parts (see also</w:t>
      </w:r>
      <w:r>
        <w:t xml:space="preserve"> </w:t>
      </w:r>
      <w:hyperlink r:id="rId419">
        <w:r>
          <w:rPr>
            <w:rStyle w:val="Hyperlink"/>
            <w:i/>
            <w:iCs/>
          </w:rPr>
          <w:t xml:space="preserve">Appendix S2</w:t>
        </w:r>
      </w:hyperlink>
    </w:p>
    <w:p>
      <w:pPr>
        <w:pStyle w:val="Compact"/>
        <w:numPr>
          <w:ilvl w:val="0"/>
          <w:numId w:val="1002"/>
        </w:numPr>
      </w:pPr>
      <w:r>
        <w:t xml:space="preserve">A between-person part, consisting of the</w:t>
      </w:r>
      <w:r>
        <w:t xml:space="preserve"> </w:t>
      </w:r>
      <w:r>
        <w:t xml:space="preserve">“random intercepts”</w:t>
      </w:r>
      <w:r>
        <w:t xml:space="preserve"> </w:t>
      </w:r>
      <w:r>
        <w:t xml:space="preserve">(</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These are latent variables that have each measurement occasion as indicator and factor loadings set to 1. They reflect stable (i.e.,</w:t>
      </w:r>
      <w:r>
        <w:t xml:space="preserve"> </w:t>
      </w:r>
      <w:r>
        <w:t xml:space="preserve">“time-invariant”</w:t>
      </w:r>
      <w:r>
        <w:t xml:space="preserve">) between-person differences (e.g., some children may have systematically higher fat mass over time compared to others).</w:t>
      </w:r>
    </w:p>
    <w:p>
      <w:pPr>
        <w:pStyle w:val="Compact"/>
        <w:numPr>
          <w:ilvl w:val="0"/>
          <w:numId w:val="1002"/>
        </w:numPr>
      </w:pPr>
      <w:r>
        <w:t xml:space="preserve">A within-person part, consisting of</w:t>
      </w:r>
      <w:r>
        <w:t xml:space="preserve"> </w:t>
      </w:r>
      <w:r>
        <w:t xml:space="preserve">“within-unit fluctuations”</w:t>
      </w:r>
      <w:r>
        <w:t xml:space="preserve">: time-specific residual terms specified as latent variables with factor loading set to 1, and (measurement error) variances set to 0. They represent random changes that make observations unique, allowing individuals to differ (from themselves) at each occasion. For example, these could reflect a life event that raises/lowers a person’s depression at a given time</w:t>
      </w:r>
      <w:r>
        <w:t xml:space="preserve"> </w:t>
      </w:r>
      <m:oMath>
        <m:r>
          <m:t>t</m:t>
        </m:r>
      </m:oMath>
      <w:r>
        <w:t xml:space="preserve">.</w:t>
      </w:r>
    </w:p>
    <w:p>
      <w:pPr>
        <w:pStyle w:val="Compact"/>
        <w:numPr>
          <w:ilvl w:val="0"/>
          <w:numId w:val="1002"/>
        </w:numPr>
      </w:pPr>
      <w:r>
        <w:t xml:space="preserve">The (lag-1) regressions between the within-unit components: i.e. the auto-regressive and cross-lagged terms.</w:t>
      </w:r>
    </w:p>
    <w:p>
      <w:pPr>
        <w:pStyle w:val="Compact"/>
        <w:numPr>
          <w:ilvl w:val="1"/>
          <w:numId w:val="1003"/>
        </w:numPr>
      </w:pPr>
      <w:r>
        <w:t xml:space="preserve">auto-regressive terms quantify the persistence (or</w:t>
      </w:r>
      <w:r>
        <w:t xml:space="preserve"> </w:t>
      </w:r>
      <w:r>
        <w:t xml:space="preserve">“inertia”</w:t>
      </w:r>
      <w:r>
        <w:t xml:space="preserve">) of a construct, i.e. its tendency to retain its state over time. For example, AR~* dep*~ captures the proportion of past depression that persists directly to the next measurement occasion.</w:t>
      </w:r>
    </w:p>
    <w:p>
      <w:pPr>
        <w:pStyle w:val="Compact"/>
        <w:numPr>
          <w:ilvl w:val="1"/>
          <w:numId w:val="1003"/>
        </w:numPr>
      </w:pPr>
      <w:r>
        <w:t xml:space="preserve">In contrast, cross-lagged relations measure the proportion of past variance in one variable that is reflected in the other variable at the next measurement occasion, and are therefore used to infer (Granger) causality. For example, CL~* dep*~ indicates how much within-person variance in depression at time</w:t>
      </w:r>
      <w:r>
        <w:t xml:space="preserve"> </w:t>
      </w:r>
      <m:oMath>
        <m:r>
          <m:t>t</m:t>
        </m:r>
      </m:oMath>
      <w:r>
        <w:t xml:space="preserve"> </w:t>
      </w:r>
      <w:r>
        <w:t xml:space="preserve">is uniquely explained by FMI at time point</w:t>
      </w:r>
      <w:r>
        <w:t xml:space="preserve"> </w:t>
      </w:r>
      <m:oMath>
        <m:r>
          <m:t>t</m:t>
        </m:r>
      </m:oMath>
      <w:r>
        <w:t xml:space="preserve"> </w:t>
      </w:r>
      <w:r>
        <w:t xml:space="preserve">– 1 (controlling for the persistence of past values of depression).</w:t>
      </w:r>
    </w:p>
    <w:p>
      <w:pPr>
        <w:pStyle w:val="Compact"/>
        <w:numPr>
          <w:ilvl w:val="0"/>
          <w:numId w:val="1002"/>
        </w:numPr>
      </w:pPr>
      <w:r>
        <w:t xml:space="preserve">Covariances in the between- and within- person part.</w:t>
      </w:r>
    </w:p>
    <w:p>
      <w:pPr>
        <w:pStyle w:val="Compact"/>
        <w:numPr>
          <w:ilvl w:val="1"/>
          <w:numId w:val="1004"/>
        </w:numPr>
      </w:pPr>
      <w:r>
        <w:t xml:space="preserve">To control for between-person trends that may confound the (within-person) system dynamics reflected by auto-regressive and cross-lagged terms, the covariance between</w:t>
      </w:r>
      <w:r>
        <w:t xml:space="preserve"> </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w:t>
      </w:r>
      <w:r>
        <w:t xml:space="preserve">is freely estimated.</w:t>
      </w:r>
    </w:p>
    <w:p>
      <w:pPr>
        <w:pStyle w:val="Compact"/>
        <w:numPr>
          <w:ilvl w:val="1"/>
          <w:numId w:val="1004"/>
        </w:numPr>
      </w:pPr>
      <w:r>
        <w:t xml:space="preserve">Similarly, because within-unit fluctuations may be non-independent (e.g., when a random change affects both variables simultaneously) this is modelled by estimating their covariance within each wave.</w:t>
      </w:r>
    </w:p>
    <w:p>
      <w:pPr>
        <w:pStyle w:val="FirstParagraph"/>
      </w:pPr>
      <w:r>
        <w:t xml:space="preserve">Full information maximum likelihood (FIML) estimation was used to account for missing patterns that may not conform to MCAR. Coefficients were standardized and conventional robust standard errors were used to compute 95% confidence intervals (95%CI).</w:t>
      </w:r>
    </w:p>
    <w:p>
      <w:pPr>
        <w:pStyle w:val="BodyText"/>
      </w:pPr>
      <w:r>
        <w:t xml:space="preserve">Model fit was evaluated using the Root Mean Square Error of Approximation (RMSEA), the Comparative Fit Index (CFI), the Tucker Lewis Index (TLI), and the Standardized Root Mean Square Residual (SRMR). We considered model fit to be adequate when: RMSEA ≤ 0.05, CFI and TLI ≥ 0.95, and SRMR &lt; 0.08</w:t>
      </w:r>
      <w:r>
        <w:t xml:space="preserve"> </w:t>
      </w:r>
      <w:r>
        <w:t xml:space="preserve">(Kline, 2016)</w:t>
      </w:r>
      <w:r>
        <w:t xml:space="preserve">.</w:t>
      </w:r>
    </w:p>
    <w:bookmarkEnd w:id="420"/>
    <w:bookmarkStart w:id="422" w:name="exploratory-analyses"/>
    <w:p>
      <w:pPr>
        <w:pStyle w:val="Heading4"/>
      </w:pPr>
      <w:r>
        <w:t xml:space="preserve">Exploratory analyses</w:t>
      </w:r>
    </w:p>
    <w:p>
      <w:pPr>
        <w:pStyle w:val="FirstParagraph"/>
      </w:pPr>
      <w:r>
        <w:t xml:space="preserve">We further conducted three sets of exploratory follow-up analyses.</w:t>
      </w:r>
    </w:p>
    <w:p>
      <w:pPr>
        <w:pStyle w:val="Compact"/>
        <w:numPr>
          <w:ilvl w:val="0"/>
          <w:numId w:val="1005"/>
        </w:numPr>
      </w:pPr>
      <w:r>
        <w:t xml:space="preserve">We replaced FMI with each of 10 alternative cardio-metabolic risk markers, including measures of adiposity (i.e., BMI, LMI, android fat mass and waist circumference), lipid profiles (i.e., HDL and LDL cholesterol levels, and triglycerides), insulin levels and inflammation (i.e., CRP).</w:t>
      </w:r>
    </w:p>
    <w:p>
      <w:pPr>
        <w:pStyle w:val="Compact"/>
        <w:numPr>
          <w:ilvl w:val="0"/>
          <w:numId w:val="1005"/>
        </w:numPr>
      </w:pPr>
      <w:r>
        <w:t xml:space="preserve">We replaced self-reported depressive symptoms scores with maternal reports (at the available time points).</w:t>
      </w:r>
    </w:p>
    <w:p>
      <w:pPr>
        <w:pStyle w:val="Compact"/>
        <w:numPr>
          <w:ilvl w:val="0"/>
          <w:numId w:val="1005"/>
        </w:numPr>
      </w:pPr>
      <w:r>
        <w:t xml:space="preserve">Estimated an Autoregressive Latent Trajectory Model with Structured Residuals (ALT-SR) with linear latent growth as an alternative to the RI-CLPM. Briefly, the ALT-SR is a more flexible modelling approach, which allows to explicitly model developmental trends (i.e. latent random slopes), in addition to the stable trait-like between-person differences (i.e., latent random intercepts)</w:t>
      </w:r>
      <w:r>
        <w:t xml:space="preserve"> </w:t>
      </w:r>
      <w:r>
        <w:t xml:space="preserve">(Curran et al., 2014)</w:t>
      </w:r>
      <w:r>
        <w:t xml:space="preserve">.</w:t>
      </w:r>
    </w:p>
    <w:p>
      <w:pPr>
        <w:pStyle w:val="FirstParagraph"/>
      </w:pPr>
      <w:r>
        <w:t xml:space="preserve">Note that the project</w:t>
      </w:r>
      <w:r>
        <w:t xml:space="preserve"> </w:t>
      </w:r>
      <w:hyperlink r:id="rId421">
        <w:r>
          <w:rPr>
            <w:rStyle w:val="Hyperlink"/>
          </w:rPr>
          <w:t xml:space="preserve">web-application</w:t>
        </w:r>
      </w:hyperlink>
      <w:r>
        <w:t xml:space="preserve"> </w:t>
      </w:r>
      <w:r>
        <w:t xml:space="preserve">offers the opportunity for researchers to interact with model settings and examine the robustness of findings against violations of modelling assumptions, such as the temporal stability of the between- and within-person components (</w:t>
      </w:r>
      <w:hyperlink r:id="rId412">
        <w:r>
          <w:rPr>
            <w:rStyle w:val="Hyperlink"/>
            <w:i/>
            <w:iCs/>
          </w:rPr>
          <w:t xml:space="preserve">Appendix S2</w:t>
        </w:r>
      </w:hyperlink>
      <w:r>
        <w:t xml:space="preserve">).</w:t>
      </w:r>
    </w:p>
    <w:bookmarkEnd w:id="422"/>
    <w:bookmarkEnd w:id="423"/>
    <w:bookmarkEnd w:id="424"/>
    <w:bookmarkStart w:id="438" w:name="results-2"/>
    <w:p>
      <w:pPr>
        <w:pStyle w:val="Heading2"/>
      </w:pPr>
      <w:r>
        <w:t xml:space="preserve">6.3 Results</w:t>
      </w:r>
    </w:p>
    <w:bookmarkStart w:id="430" w:name="descriptive-statistics"/>
    <w:p>
      <w:pPr>
        <w:pStyle w:val="Heading3"/>
      </w:pPr>
      <w:r>
        <w:t xml:space="preserve">Descriptive statistics</w:t>
      </w:r>
    </w:p>
    <w:p>
      <w:pPr>
        <w:pStyle w:val="FirstParagraph"/>
      </w:pPr>
      <w:r>
        <w:t xml:space="preserve">Sample descriptives are presented in</w:t>
      </w:r>
      <w:r>
        <w:t xml:space="preserve"> </w:t>
      </w:r>
      <w:hyperlink w:anchor="tbl-6.1">
        <w:r>
          <w:rPr>
            <w:rStyle w:val="Hyperlink"/>
          </w:rPr>
          <w:t xml:space="preserve">Table 6.1</w:t>
        </w:r>
      </w:hyperlink>
      <w:r>
        <w:t xml:space="preserve"> </w:t>
      </w:r>
      <w:r>
        <w:t xml:space="preserve">and</w:t>
      </w:r>
      <w:r>
        <w:t xml:space="preserve"> </w:t>
      </w:r>
      <w:hyperlink w:anchor="fig-6.1">
        <w:r>
          <w:rPr>
            <w:rStyle w:val="Hyperlink"/>
          </w:rPr>
          <w:t xml:space="preserve">Figure 6.1</w:t>
        </w:r>
      </w:hyperlink>
      <w:r>
        <w:t xml:space="preserve">. The main analytical sample consisted of 7970 (47% male) participants, who had at least one measurement of depressive symptoms and FMI; 96% of participants’ parents identified as ethnically</w:t>
      </w:r>
      <w:r>
        <w:t xml:space="preserve"> </w:t>
      </w:r>
      <w:r>
        <w:t xml:space="preserve">“White”</w:t>
      </w:r>
      <w:r>
        <w:t xml:space="preserve">.</w:t>
      </w:r>
    </w:p>
    <w:p>
      <w:pPr>
        <w:pStyle w:val="BodyText"/>
      </w:pPr>
      <w:r>
        <w:t xml:space="preserve">Both depressive symptoms and FMI increased slightly with age (see</w:t>
      </w:r>
      <w:r>
        <w:t xml:space="preserve"> </w:t>
      </w:r>
      <w:hyperlink w:anchor="fig-6.1">
        <w:r>
          <w:rPr>
            <w:rStyle w:val="Hyperlink"/>
          </w:rPr>
          <w:t xml:space="preserve">Figure 6.1</w:t>
        </w:r>
      </w:hyperlink>
      <w:r>
        <w:t xml:space="preserve"> </w:t>
      </w:r>
      <w:r>
        <w:t xml:space="preserve">A-B); their cross-sectional correlations ranged from 0.00 to 0.17 (r mean = 0.10;</w:t>
      </w:r>
      <w:r>
        <w:t xml:space="preserve"> </w:t>
      </w:r>
      <w:hyperlink w:anchor="fig-6.1">
        <w:r>
          <w:rPr>
            <w:rStyle w:val="Hyperlink"/>
          </w:rPr>
          <w:t xml:space="preserve">Figure 6.1</w:t>
        </w:r>
      </w:hyperlink>
      <w:r>
        <w:t xml:space="preserve"> </w:t>
      </w:r>
      <w:r>
        <w:t xml:space="preserve">C).</w:t>
      </w:r>
    </w:p>
    <w:p>
      <w:pPr>
        <w:pStyle w:val="BodyText"/>
      </w:pPr>
      <w:r>
        <w:t xml:space="preserve">Girls had systematically higher FMI compared to boys across time points, and they reported higher depressive symptoms scores from the ages of 14 years onwards.</w:t>
      </w:r>
    </w:p>
    <w:tbl>
      <w:tblPr>
        <w:tblStyle w:val="Table"/>
        <w:tblW w:type="pct" w:w="5000"/>
        <w:tblLayout w:type="fixed"/>
        <w:tblLook w:firstRow="0" w:lastRow="0" w:firstColumn="0" w:lastColumn="0" w:noHBand="0" w:noVBand="0" w:val="0000"/>
      </w:tblPr>
      <w:tblGrid>
        <w:gridCol w:w="7920"/>
      </w:tblGrid>
      <w:tr>
        <w:tc>
          <w:tcPr/>
          <w:bookmarkStart w:id="428" w:name="fig-6.1"/>
          <w:p>
            <w:pPr>
              <w:pStyle w:val="Compact"/>
              <w:jc w:val="center"/>
            </w:pPr>
            <w:r>
              <w:drawing>
                <wp:inline>
                  <wp:extent cx="5943600" cy="2777140"/>
                  <wp:effectExtent b="0" l="0" r="0" t="0"/>
                  <wp:docPr descr="" title="" id="426" name="Picture"/>
                  <a:graphic>
                    <a:graphicData uri="http://schemas.openxmlformats.org/drawingml/2006/picture">
                      <pic:pic>
                        <pic:nvPicPr>
                          <pic:cNvPr descr="6.Chapter/Figures/F1_maindesc.png" id="427" name="Picture"/>
                          <pic:cNvPicPr>
                            <a:picLocks noChangeArrowheads="1" noChangeAspect="1"/>
                          </pic:cNvPicPr>
                        </pic:nvPicPr>
                        <pic:blipFill>
                          <a:blip r:embed="rId425"/>
                          <a:stretch>
                            <a:fillRect/>
                          </a:stretch>
                        </pic:blipFill>
                        <pic:spPr bwMode="auto">
                          <a:xfrm>
                            <a:off x="0" y="0"/>
                            <a:ext cx="5943600" cy="27771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
                <w:bCs/>
              </w:rPr>
              <w:t xml:space="preserve">Main outcomes descriptives</w:t>
            </w:r>
            <w:r>
              <w:t xml:space="preserve">(A, B) The distribution of observed values for SMFQ depressive scores (A) and fat mass index (B) is presented on the y-axis against measurement time (x-axis). In the violin plots, lighter colors are used to represent the original value distributions, while darker colors represent the same variable distributions and after data transformation was applied (i.e., square root for depressive symptoms scores and log transformation for FMI). The line graph connects the median points (in the original data scale) at each timepoint. (C) The univariate, pairwise Pearson correlation coefficients between each repeated measure of depressive symptoms (Dep) and fat mass index (FMI).</w:t>
            </w:r>
          </w:p>
          <w:bookmarkEnd w:id="428"/>
        </w:tc>
      </w:tr>
    </w:tbl>
    <w:p/>
    <w:tbl>
      <w:tblPr>
        <w:tblStyle w:val="Table"/>
        <w:tblW w:type="pct" w:w="5000"/>
        <w:tblLayout w:type="fixed"/>
        <w:tblLook w:firstRow="0" w:lastRow="0" w:firstColumn="0" w:lastColumn="0" w:noHBand="0" w:noVBand="0" w:val="0000"/>
      </w:tblPr>
      <w:tblGrid>
        <w:gridCol w:w="7920"/>
      </w:tblGrid>
      <w:tr>
        <w:tc>
          <w:tcPr/>
          <w:bookmarkStart w:id="429" w:name="tbl-6.1"/>
          <w:p>
            <w:pPr>
              <w:jc w:val="center"/>
            </w:pPr>
            <w:pPr>
              <w:jc w:val="start"/>
              <w:spacing w:before="200"/>
              <w:pStyle w:val="ImageCaption"/>
            </w:pPr>
            <w:r>
              <w:t xml:space="preserve">Table 6.1</w:t>
            </w:r>
          </w:p>
          <w:tbl>
            <w:tblPr>
              <w:tblStyle w:val="Table"/>
              <w:tblW w:type="auto" w:w="0"/>
              <w:tblLook w:firstRow="1" w:lastRow="1" w:firstColumn="0" w:lastColumn="0" w:noHBand="0" w:noVBand="0" w:val="0020"/>
            </w:tblPr>
            <w:tblGrid>
              <w:gridCol w:w="1980"/>
              <w:gridCol w:w="1980"/>
              <w:gridCol w:w="1980"/>
              <w:gridCol w:w="1980"/>
            </w:tblGrid>
            <w:tr>
              <w:trPr>
                <w:tblHeader w:val="on"/>
              </w:trPr>
              <w:tc>
                <w:tcPr>
                  <w:gridSpan w:val="4"/>
                </w:tcPr>
                <w:p>
                  <w:pPr>
                    <w:pStyle w:val="Compact"/>
                    <w:jc w:val="center"/>
                  </w:pPr>
                  <w:r>
                    <w:rPr>
                      <w:b/>
                      <w:bCs/>
                    </w:rPr>
                    <w:t xml:space="preserve">Sample descriptives</w:t>
                  </w:r>
                  <w:r>
                    <w:br/>
                  </w:r>
                  <w:r>
                    <w:t xml:space="preserve">ALSPAC cohort</w:t>
                  </w:r>
                </w:p>
              </w:tc>
            </w:tr>
            <w:tr>
              <w:tc>
                <w:tcPr/>
                <w:p>
                  <w:pPr>
                    <w:pStyle w:val="Compact"/>
                    <w:jc w:val="center"/>
                  </w:pPr>
                  <w:r>
                    <w:t xml:space="preserve"> </w:t>
                  </w:r>
                </w:p>
              </w:tc>
              <w:tc>
                <w:tcPr/>
                <w:p>
                  <w:pPr>
                    <w:pStyle w:val="Compact"/>
                    <w:jc w:val="center"/>
                  </w:pPr>
                  <w:r>
                    <w:rPr>
                      <w:b/>
                      <w:bCs/>
                    </w:rPr>
                    <w:t xml:space="preserve">Total sample</w:t>
                  </w:r>
                  <w:r>
                    <w:br/>
                  </w:r>
                  <w:r>
                    <w:t xml:space="preserve">(</w:t>
                  </w:r>
                  <w:r>
                    <w:rPr>
                      <w:i/>
                      <w:iCs/>
                    </w:rPr>
                    <w:t xml:space="preserve">n</w:t>
                  </w:r>
                  <w:r>
                    <w:t xml:space="preserve">=7970)</w:t>
                  </w:r>
                </w:p>
              </w:tc>
              <w:tc>
                <w:tcPr/>
                <w:p>
                  <w:pPr>
                    <w:pStyle w:val="Compact"/>
                    <w:jc w:val="center"/>
                  </w:pPr>
                  <w:r>
                    <w:rPr>
                      <w:b/>
                      <w:bCs/>
                    </w:rPr>
                    <w:t xml:space="preserve">Male participants</w:t>
                  </w:r>
                  <w:r>
                    <w:br/>
                  </w:r>
                  <w:r>
                    <w:t xml:space="preserve">(</w:t>
                  </w:r>
                  <w:r>
                    <w:rPr>
                      <w:i/>
                      <w:iCs/>
                    </w:rPr>
                    <w:t xml:space="preserve">n</w:t>
                  </w:r>
                  <w:r>
                    <w:t xml:space="preserve">=3769)</w:t>
                  </w:r>
                </w:p>
              </w:tc>
              <w:tc>
                <w:tcPr/>
                <w:p>
                  <w:pPr>
                    <w:pStyle w:val="Compact"/>
                    <w:jc w:val="center"/>
                  </w:pPr>
                  <w:r>
                    <w:rPr>
                      <w:b/>
                      <w:bCs/>
                    </w:rPr>
                    <w:t xml:space="preserve">Female participants</w:t>
                  </w:r>
                  <w:r>
                    <w:br/>
                  </w:r>
                  <w:r>
                    <w:t xml:space="preserve">(</w:t>
                  </w:r>
                  <w:r>
                    <w:rPr>
                      <w:i/>
                      <w:iCs/>
                    </w:rPr>
                    <w:t xml:space="preserve">n</w:t>
                  </w:r>
                  <w:r>
                    <w:t xml:space="preserve">=4185)</w:t>
                  </w:r>
                </w:p>
              </w:tc>
            </w:tr>
            <w:tr>
              <w:tc>
                <w:tcPr>
                  <w:gridSpan w:val="4"/>
                </w:tcPr>
                <w:p>
                  <w:pPr>
                    <w:pStyle w:val="Compact"/>
                    <w:jc w:val="center"/>
                  </w:pPr>
                  <w:r>
                    <w:rPr>
                      <w:b/>
                      <w:bCs/>
                    </w:rPr>
                    <w:t xml:space="preserve">SMFQ depressive symptom score</w:t>
                  </w:r>
                  <w:r>
                    <w:t xml:space="preserve">, median (range) [% missing values]</w:t>
                  </w:r>
                </w:p>
              </w:tc>
            </w:tr>
            <w:tr>
              <w:tc>
                <w:tcPr/>
                <w:p>
                  <w:pPr>
                    <w:pStyle w:val="Compact"/>
                    <w:jc w:val="center"/>
                  </w:pPr>
                  <w:r>
                    <w:t xml:space="preserve">  10 years</w:t>
                  </w:r>
                </w:p>
              </w:tc>
              <w:tc>
                <w:tcPr/>
                <w:p>
                  <w:pPr>
                    <w:pStyle w:val="Compact"/>
                    <w:jc w:val="center"/>
                  </w:pPr>
                  <w:r>
                    <w:t xml:space="preserve">3 (0-23) [15%]</w:t>
                  </w:r>
                </w:p>
              </w:tc>
              <w:tc>
                <w:tcPr/>
                <w:p>
                  <w:pPr>
                    <w:pStyle w:val="Compact"/>
                    <w:jc w:val="center"/>
                  </w:pPr>
                  <w:r>
                    <w:t xml:space="preserve">3 (0-23) [14%]</w:t>
                  </w:r>
                </w:p>
              </w:tc>
              <w:tc>
                <w:tcPr/>
                <w:p>
                  <w:pPr>
                    <w:pStyle w:val="Compact"/>
                    <w:jc w:val="center"/>
                  </w:pPr>
                  <w:r>
                    <w:t xml:space="preserve">3 (0-21) [17%]</w:t>
                  </w:r>
                </w:p>
              </w:tc>
            </w:tr>
            <w:tr>
              <w:tc>
                <w:tcPr/>
                <w:p>
                  <w:pPr>
                    <w:pStyle w:val="Compact"/>
                    <w:jc w:val="center"/>
                  </w:pPr>
                  <w:r>
                    <w:t xml:space="preserve">  12 years</w:t>
                  </w:r>
                </w:p>
              </w:tc>
              <w:tc>
                <w:tcPr/>
                <w:p>
                  <w:pPr>
                    <w:pStyle w:val="Compact"/>
                    <w:jc w:val="center"/>
                  </w:pPr>
                  <w:r>
                    <w:t xml:space="preserve">3 (0-25) [19%]</w:t>
                  </w:r>
                </w:p>
              </w:tc>
              <w:tc>
                <w:tcPr/>
                <w:p>
                  <w:pPr>
                    <w:pStyle w:val="Compact"/>
                    <w:jc w:val="center"/>
                  </w:pPr>
                  <w:r>
                    <w:t xml:space="preserve">3 (0-25) [17%]</w:t>
                  </w:r>
                </w:p>
              </w:tc>
              <w:tc>
                <w:tcPr/>
                <w:p>
                  <w:pPr>
                    <w:pStyle w:val="Compact"/>
                    <w:jc w:val="center"/>
                  </w:pPr>
                  <w:r>
                    <w:t xml:space="preserve">3 (0-24) [21%]</w:t>
                  </w:r>
                </w:p>
              </w:tc>
            </w:tr>
            <w:tr>
              <w:tc>
                <w:tcPr/>
                <w:p>
                  <w:pPr>
                    <w:pStyle w:val="Compact"/>
                    <w:jc w:val="center"/>
                  </w:pPr>
                  <w:r>
                    <w:t xml:space="preserve">  14 years</w:t>
                  </w:r>
                </w:p>
              </w:tc>
              <w:tc>
                <w:tcPr/>
                <w:p>
                  <w:pPr>
                    <w:pStyle w:val="Compact"/>
                    <w:jc w:val="center"/>
                  </w:pPr>
                  <w:r>
                    <w:t xml:space="preserve">4 (0-26) [24%]</w:t>
                  </w:r>
                </w:p>
              </w:tc>
              <w:tc>
                <w:tcPr/>
                <w:p>
                  <w:pPr>
                    <w:pStyle w:val="Compact"/>
                    <w:jc w:val="center"/>
                  </w:pPr>
                  <w:r>
                    <w:t xml:space="preserve">3 (0-26) [21%]</w:t>
                  </w:r>
                </w:p>
              </w:tc>
              <w:tc>
                <w:tcPr/>
                <w:p>
                  <w:pPr>
                    <w:pStyle w:val="Compact"/>
                    <w:jc w:val="center"/>
                  </w:pPr>
                  <w:r>
                    <w:t xml:space="preserve">4 (0-26) [26%]</w:t>
                  </w:r>
                </w:p>
              </w:tc>
            </w:tr>
            <w:tr>
              <w:tc>
                <w:tcPr/>
                <w:p>
                  <w:pPr>
                    <w:pStyle w:val="Compact"/>
                    <w:jc w:val="center"/>
                  </w:pPr>
                  <w:r>
                    <w:t xml:space="preserve">  16 years</w:t>
                  </w:r>
                </w:p>
              </w:tc>
              <w:tc>
                <w:tcPr/>
                <w:p>
                  <w:pPr>
                    <w:pStyle w:val="Compact"/>
                    <w:jc w:val="center"/>
                  </w:pPr>
                  <w:r>
                    <w:t xml:space="preserve">4 (0-26) [43%]</w:t>
                  </w:r>
                </w:p>
              </w:tc>
              <w:tc>
                <w:tcPr/>
                <w:p>
                  <w:pPr>
                    <w:pStyle w:val="Compact"/>
                    <w:jc w:val="center"/>
                  </w:pPr>
                  <w:r>
                    <w:t xml:space="preserve">3 (0-26) [51%]</w:t>
                  </w:r>
                </w:p>
              </w:tc>
              <w:tc>
                <w:tcPr/>
                <w:p>
                  <w:pPr>
                    <w:pStyle w:val="Compact"/>
                    <w:jc w:val="center"/>
                  </w:pPr>
                  <w:r>
                    <w:t xml:space="preserve">5 (0-26) [36%]</w:t>
                  </w:r>
                </w:p>
              </w:tc>
            </w:tr>
            <w:tr>
              <w:tc>
                <w:tcPr/>
                <w:p>
                  <w:pPr>
                    <w:pStyle w:val="Compact"/>
                    <w:jc w:val="center"/>
                  </w:pPr>
                  <w:r>
                    <w:t xml:space="preserve">  18 years</w:t>
                  </w:r>
                </w:p>
              </w:tc>
              <w:tc>
                <w:tcPr/>
                <w:p>
                  <w:pPr>
                    <w:pStyle w:val="Compact"/>
                    <w:jc w:val="center"/>
                  </w:pPr>
                  <w:r>
                    <w:t xml:space="preserve">5 (0-26) [45%]</w:t>
                  </w:r>
                </w:p>
              </w:tc>
              <w:tc>
                <w:tcPr/>
                <w:p>
                  <w:pPr>
                    <w:pStyle w:val="Compact"/>
                    <w:jc w:val="center"/>
                  </w:pPr>
                  <w:r>
                    <w:t xml:space="preserve">4 (0-26) [51%]</w:t>
                  </w:r>
                </w:p>
              </w:tc>
              <w:tc>
                <w:tcPr/>
                <w:p>
                  <w:pPr>
                    <w:pStyle w:val="Compact"/>
                    <w:jc w:val="center"/>
                  </w:pPr>
                  <w:r>
                    <w:t xml:space="preserve">6 (0-26) [40%]</w:t>
                  </w:r>
                </w:p>
              </w:tc>
            </w:tr>
            <w:tr>
              <w:tc>
                <w:tcPr/>
                <w:p>
                  <w:pPr>
                    <w:pStyle w:val="Compact"/>
                    <w:jc w:val="center"/>
                  </w:pPr>
                  <w:r>
                    <w:t xml:space="preserve">  24 years</w:t>
                  </w:r>
                </w:p>
              </w:tc>
              <w:tc>
                <w:tcPr/>
                <w:p>
                  <w:pPr>
                    <w:pStyle w:val="Compact"/>
                    <w:jc w:val="center"/>
                  </w:pPr>
                  <w:r>
                    <w:t xml:space="preserve">5 (0-26) [54%]</w:t>
                  </w:r>
                </w:p>
              </w:tc>
              <w:tc>
                <w:tcPr/>
                <w:p>
                  <w:pPr>
                    <w:pStyle w:val="Compact"/>
                    <w:jc w:val="center"/>
                  </w:pPr>
                  <w:r>
                    <w:t xml:space="preserve">4 (0-26) [66%]</w:t>
                  </w:r>
                </w:p>
              </w:tc>
              <w:tc>
                <w:tcPr/>
                <w:p>
                  <w:pPr>
                    <w:pStyle w:val="Compact"/>
                    <w:jc w:val="center"/>
                  </w:pPr>
                  <w:r>
                    <w:t xml:space="preserve">5 (0-26) [42%]</w:t>
                  </w:r>
                </w:p>
              </w:tc>
            </w:tr>
            <w:tr>
              <w:tc>
                <w:tcPr>
                  <w:gridSpan w:val="4"/>
                </w:tcPr>
                <w:p>
                  <w:pPr>
                    <w:pStyle w:val="Compact"/>
                    <w:jc w:val="center"/>
                  </w:pPr>
                  <w:r>
                    <w:rPr>
                      <w:b/>
                      <w:bCs/>
                    </w:rPr>
                    <w:t xml:space="preserve">Fat mass index</w:t>
                  </w:r>
                  <w:r>
                    <w:t xml:space="preserve">, median (range) [% missing values]</w:t>
                  </w:r>
                </w:p>
              </w:tc>
            </w:tr>
            <w:tr>
              <w:tc>
                <w:tcPr/>
                <w:p>
                  <w:pPr>
                    <w:pStyle w:val="Compact"/>
                    <w:jc w:val="center"/>
                  </w:pPr>
                  <w:r>
                    <w:t xml:space="preserve">  10 years</w:t>
                  </w:r>
                </w:p>
              </w:tc>
              <w:tc>
                <w:tcPr/>
                <w:p>
                  <w:pPr>
                    <w:pStyle w:val="Compact"/>
                    <w:jc w:val="center"/>
                  </w:pPr>
                  <w:r>
                    <w:t xml:space="preserve">3.8 (0.7-18.4) [50%]</w:t>
                  </w:r>
                </w:p>
              </w:tc>
              <w:tc>
                <w:tcPr/>
                <w:p>
                  <w:pPr>
                    <w:pStyle w:val="Compact"/>
                    <w:jc w:val="center"/>
                  </w:pPr>
                  <w:r>
                    <w:t xml:space="preserve">3.0 (0.7-15.4) [49%]</w:t>
                  </w:r>
                </w:p>
              </w:tc>
              <w:tc>
                <w:tcPr/>
                <w:p>
                  <w:pPr>
                    <w:pStyle w:val="Compact"/>
                    <w:jc w:val="center"/>
                  </w:pPr>
                  <w:r>
                    <w:t xml:space="preserve">4.4 (1.0-18.4) [51%]</w:t>
                  </w:r>
                </w:p>
              </w:tc>
            </w:tr>
            <w:tr>
              <w:tc>
                <w:tcPr/>
                <w:p>
                  <w:pPr>
                    <w:pStyle w:val="Compact"/>
                    <w:jc w:val="center"/>
                  </w:pPr>
                  <w:r>
                    <w:t xml:space="preserve">  12 years</w:t>
                  </w:r>
                </w:p>
              </w:tc>
              <w:tc>
                <w:tcPr/>
                <w:p>
                  <w:pPr>
                    <w:pStyle w:val="Compact"/>
                    <w:jc w:val="center"/>
                  </w:pPr>
                  <w:r>
                    <w:t xml:space="preserve">4.4 (0.9-19.1) [51%]</w:t>
                  </w:r>
                </w:p>
              </w:tc>
              <w:tc>
                <w:tcPr/>
                <w:p>
                  <w:pPr>
                    <w:pStyle w:val="Compact"/>
                    <w:jc w:val="center"/>
                  </w:pPr>
                  <w:r>
                    <w:t xml:space="preserve">3.8 (0.9-16.8) [50%]</w:t>
                  </w:r>
                </w:p>
              </w:tc>
              <w:tc>
                <w:tcPr/>
                <w:p>
                  <w:pPr>
                    <w:pStyle w:val="Compact"/>
                    <w:jc w:val="center"/>
                  </w:pPr>
                  <w:r>
                    <w:t xml:space="preserve">5.0 (1.1-19.1) [51%]</w:t>
                  </w:r>
                </w:p>
              </w:tc>
            </w:tr>
            <w:tr>
              <w:tc>
                <w:tcPr/>
                <w:p>
                  <w:pPr>
                    <w:pStyle w:val="Compact"/>
                    <w:jc w:val="center"/>
                  </w:pPr>
                  <w:r>
                    <w:t xml:space="preserve">  14 years</w:t>
                  </w:r>
                </w:p>
              </w:tc>
              <w:tc>
                <w:tcPr/>
                <w:p>
                  <w:pPr>
                    <w:pStyle w:val="Compact"/>
                    <w:jc w:val="center"/>
                  </w:pPr>
                  <w:r>
                    <w:t xml:space="preserve">4.6 (0.8-21.9) [24%]</w:t>
                  </w:r>
                </w:p>
              </w:tc>
              <w:tc>
                <w:tcPr/>
                <w:p>
                  <w:pPr>
                    <w:pStyle w:val="Compact"/>
                    <w:jc w:val="center"/>
                  </w:pPr>
                  <w:r>
                    <w:t xml:space="preserve">3.1 (0.8-17.7) [22%]</w:t>
                  </w:r>
                </w:p>
              </w:tc>
              <w:tc>
                <w:tcPr/>
                <w:p>
                  <w:pPr>
                    <w:pStyle w:val="Compact"/>
                    <w:jc w:val="center"/>
                  </w:pPr>
                  <w:r>
                    <w:t xml:space="preserve">5.7 (1.5-21.9) [27%]</w:t>
                  </w:r>
                </w:p>
              </w:tc>
            </w:tr>
            <w:tr>
              <w:tc>
                <w:tcPr/>
                <w:p>
                  <w:pPr>
                    <w:pStyle w:val="Compact"/>
                    <w:jc w:val="center"/>
                  </w:pPr>
                  <w:r>
                    <w:t xml:space="preserve">  16 years</w:t>
                  </w:r>
                </w:p>
              </w:tc>
              <w:tc>
                <w:tcPr/>
                <w:p>
                  <w:pPr>
                    <w:pStyle w:val="Compact"/>
                    <w:jc w:val="center"/>
                  </w:pPr>
                  <w:r>
                    <w:t xml:space="preserve">5.0 (0.7-22.8) [36%]</w:t>
                  </w:r>
                </w:p>
              </w:tc>
              <w:tc>
                <w:tcPr/>
                <w:p>
                  <w:pPr>
                    <w:pStyle w:val="Compact"/>
                    <w:jc w:val="center"/>
                  </w:pPr>
                  <w:r>
                    <w:t xml:space="preserve">2.8 (0.7-20.0) [36%]</w:t>
                  </w:r>
                </w:p>
              </w:tc>
              <w:tc>
                <w:tcPr/>
                <w:p>
                  <w:pPr>
                    <w:pStyle w:val="Compact"/>
                    <w:jc w:val="center"/>
                  </w:pPr>
                  <w:r>
                    <w:t xml:space="preserve">6.4 (1.5-22.8) [36%]</w:t>
                  </w:r>
                </w:p>
              </w:tc>
            </w:tr>
            <w:tr>
              <w:tc>
                <w:tcPr/>
                <w:p>
                  <w:pPr>
                    <w:pStyle w:val="Compact"/>
                    <w:jc w:val="center"/>
                  </w:pPr>
                  <w:r>
                    <w:t xml:space="preserve">  18 years</w:t>
                  </w:r>
                </w:p>
              </w:tc>
              <w:tc>
                <w:tcPr/>
                <w:p>
                  <w:pPr>
                    <w:pStyle w:val="Compact"/>
                    <w:jc w:val="center"/>
                  </w:pPr>
                  <w:r>
                    <w:t xml:space="preserve">5.8 (0.5-27.9) [40%]</w:t>
                  </w:r>
                </w:p>
              </w:tc>
              <w:tc>
                <w:tcPr/>
                <w:p>
                  <w:pPr>
                    <w:pStyle w:val="Compact"/>
                    <w:jc w:val="center"/>
                  </w:pPr>
                  <w:r>
                    <w:t xml:space="preserve">3.4 (0.5-24.1) [44%]</w:t>
                  </w:r>
                </w:p>
              </w:tc>
              <w:tc>
                <w:tcPr/>
                <w:p>
                  <w:pPr>
                    <w:pStyle w:val="Compact"/>
                    <w:jc w:val="center"/>
                  </w:pPr>
                  <w:r>
                    <w:t xml:space="preserve">7.1 (0.5-27.9) [36%]</w:t>
                  </w:r>
                </w:p>
              </w:tc>
            </w:tr>
            <w:tr>
              <w:tc>
                <w:tcPr/>
                <w:p>
                  <w:pPr>
                    <w:pStyle w:val="Compact"/>
                    <w:jc w:val="center"/>
                  </w:pPr>
                  <w:r>
                    <w:t xml:space="preserve">  24 years</w:t>
                  </w:r>
                </w:p>
              </w:tc>
              <w:tc>
                <w:tcPr/>
                <w:p>
                  <w:pPr>
                    <w:pStyle w:val="Compact"/>
                    <w:jc w:val="center"/>
                  </w:pPr>
                  <w:r>
                    <w:t xml:space="preserve">7.2 (0.6-28.5) [53%]</w:t>
                  </w:r>
                </w:p>
              </w:tc>
              <w:tc>
                <w:tcPr/>
                <w:p>
                  <w:pPr>
                    <w:pStyle w:val="Compact"/>
                    <w:jc w:val="center"/>
                  </w:pPr>
                  <w:r>
                    <w:t xml:space="preserve">5.7 (1.8-23.2) [63%]</w:t>
                  </w:r>
                </w:p>
              </w:tc>
              <w:tc>
                <w:tcPr/>
                <w:p>
                  <w:pPr>
                    <w:pStyle w:val="Compact"/>
                    <w:jc w:val="center"/>
                  </w:pPr>
                  <w:r>
                    <w:t xml:space="preserve">8.0 (0.6-28.5) [44%]</w:t>
                  </w:r>
                </w:p>
              </w:tc>
            </w:tr>
            <w:tr>
              <w:tc>
                <w:tcPr>
                  <w:gridSpan w:val="4"/>
                </w:tcPr>
                <w:p>
                  <w:pPr>
                    <w:pStyle w:val="Compact"/>
                    <w:jc w:val="center"/>
                  </w:pPr>
                  <w:r>
                    <w:rPr>
                      <w:b/>
                      <w:bCs/>
                    </w:rPr>
                    <w:t xml:space="preserve">Sex</w:t>
                  </w:r>
                  <w:r>
                    <w:t xml:space="preserve">, n (%)</w:t>
                  </w:r>
                </w:p>
              </w:tc>
            </w:tr>
            <w:tr>
              <w:tc>
                <w:tcPr/>
                <w:p>
                  <w:pPr>
                    <w:pStyle w:val="Compact"/>
                    <w:jc w:val="center"/>
                  </w:pPr>
                  <w:r>
                    <w:t xml:space="preserve">  Male</w:t>
                  </w:r>
                </w:p>
              </w:tc>
              <w:tc>
                <w:tcPr/>
                <w:p>
                  <w:pPr>
                    <w:pStyle w:val="Compact"/>
                    <w:jc w:val="center"/>
                  </w:pPr>
                  <w:r>
                    <w:t xml:space="preserve">3769 (47%)</w:t>
                  </w:r>
                </w:p>
              </w:tc>
              <w:tc>
                <w:tcPr>
                  <w:gridSpan w:val="2"/>
                </w:tcPr>
                <w:p>
                  <w:pPr>
                    <w:pStyle w:val="Compact"/>
                    <w:jc w:val="center"/>
                  </w:pPr>
                  <w:r>
                    <w:t xml:space="preserve"> </w:t>
                  </w:r>
                </w:p>
              </w:tc>
            </w:tr>
            <w:tr>
              <w:tc>
                <w:tcPr/>
                <w:p>
                  <w:pPr>
                    <w:pStyle w:val="Compact"/>
                    <w:jc w:val="center"/>
                  </w:pPr>
                  <w:r>
                    <w:t xml:space="preserve">  Female</w:t>
                  </w:r>
                </w:p>
              </w:tc>
              <w:tc>
                <w:tcPr/>
                <w:p>
                  <w:pPr>
                    <w:pStyle w:val="Compact"/>
                    <w:jc w:val="center"/>
                  </w:pPr>
                  <w:r>
                    <w:t xml:space="preserve">4185 (53%)</w:t>
                  </w:r>
                </w:p>
              </w:tc>
              <w:tc>
                <w:tcPr>
                  <w:gridSpan w:val="2"/>
                </w:tcPr>
                <w:p>
                  <w:pPr>
                    <w:pStyle w:val="Compact"/>
                    <w:jc w:val="center"/>
                  </w:pPr>
                  <w:r>
                    <w:t xml:space="preserve"> </w:t>
                  </w:r>
                </w:p>
              </w:tc>
            </w:tr>
            <w:tr>
              <w:tc>
                <w:tcPr>
                  <w:gridSpan w:val="4"/>
                </w:tcPr>
                <w:p>
                  <w:pPr>
                    <w:pStyle w:val="Compact"/>
                    <w:jc w:val="center"/>
                  </w:pPr>
                  <w:r>
                    <w:rPr>
                      <w:b/>
                      <w:bCs/>
                    </w:rPr>
                    <w:t xml:space="preserve">Ethnic background</w:t>
                  </w:r>
                  <w:r>
                    <w:t xml:space="preserve">, n (%)</w:t>
                  </w:r>
                  <w:r>
                    <w:t xml:space="preserve"> </w:t>
                  </w:r>
                  <w:r>
                    <w:rPr>
                      <w:vertAlign w:val="superscript"/>
                    </w:rPr>
                    <w:t xml:space="preserve">a</w:t>
                  </w:r>
                </w:p>
              </w:tc>
            </w:tr>
            <w:tr>
              <w:tc>
                <w:tcPr/>
                <w:p>
                  <w:pPr>
                    <w:pStyle w:val="Compact"/>
                    <w:jc w:val="center"/>
                  </w:pPr>
                  <w:r>
                    <w:t xml:space="preserve">  Non-white</w:t>
                  </w:r>
                </w:p>
              </w:tc>
              <w:tc>
                <w:tcPr/>
                <w:p>
                  <w:pPr>
                    <w:pStyle w:val="Compact"/>
                    <w:jc w:val="center"/>
                  </w:pPr>
                  <w:r>
                    <w:t xml:space="preserve">280 (4%)</w:t>
                  </w:r>
                </w:p>
              </w:tc>
              <w:tc>
                <w:tcPr/>
                <w:p>
                  <w:pPr>
                    <w:pStyle w:val="Compact"/>
                    <w:jc w:val="center"/>
                  </w:pPr>
                  <w:r>
                    <w:t xml:space="preserve">134 (4%)</w:t>
                  </w:r>
                </w:p>
              </w:tc>
              <w:tc>
                <w:tcPr/>
                <w:p>
                  <w:pPr>
                    <w:pStyle w:val="Compact"/>
                    <w:jc w:val="center"/>
                  </w:pPr>
                  <w:r>
                    <w:t xml:space="preserve">146 (4%)</w:t>
                  </w:r>
                </w:p>
              </w:tc>
            </w:tr>
            <w:tr>
              <w:tc>
                <w:tcPr/>
                <w:p>
                  <w:pPr>
                    <w:pStyle w:val="Compact"/>
                    <w:jc w:val="center"/>
                  </w:pPr>
                  <w:r>
                    <w:t xml:space="preserve">  White</w:t>
                  </w:r>
                </w:p>
              </w:tc>
              <w:tc>
                <w:tcPr/>
                <w:p>
                  <w:pPr>
                    <w:pStyle w:val="Compact"/>
                    <w:jc w:val="center"/>
                  </w:pPr>
                  <w:r>
                    <w:t xml:space="preserve">6718 (96%)</w:t>
                  </w:r>
                </w:p>
              </w:tc>
              <w:tc>
                <w:tcPr/>
                <w:p>
                  <w:pPr>
                    <w:pStyle w:val="Compact"/>
                    <w:jc w:val="center"/>
                  </w:pPr>
                  <w:r>
                    <w:t xml:space="preserve">3215 (96%)</w:t>
                  </w:r>
                </w:p>
              </w:tc>
              <w:tc>
                <w:tcPr/>
                <w:p>
                  <w:pPr>
                    <w:pStyle w:val="Compact"/>
                    <w:jc w:val="center"/>
                  </w:pPr>
                  <w:r>
                    <w:t xml:space="preserve">3503 (96%)</w:t>
                  </w:r>
                </w:p>
              </w:tc>
            </w:tr>
            <w:tr>
              <w:tc>
                <w:tcPr>
                  <w:gridSpan w:val="4"/>
                </w:tcPr>
                <w:p>
                  <w:pPr>
                    <w:pStyle w:val="Compact"/>
                    <w:jc w:val="center"/>
                  </w:pPr>
                  <w:r>
                    <w:rPr>
                      <w:b/>
                      <w:bCs/>
                    </w:rPr>
                    <w:t xml:space="preserve">Maternal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210 (3%)</w:t>
                  </w:r>
                </w:p>
              </w:tc>
              <w:tc>
                <w:tcPr/>
                <w:p>
                  <w:pPr>
                    <w:pStyle w:val="Compact"/>
                    <w:jc w:val="center"/>
                  </w:pPr>
                  <w:r>
                    <w:t xml:space="preserve">89 (3%)</w:t>
                  </w:r>
                </w:p>
              </w:tc>
              <w:tc>
                <w:tcPr/>
                <w:p>
                  <w:pPr>
                    <w:pStyle w:val="Compact"/>
                    <w:jc w:val="center"/>
                  </w:pPr>
                  <w:r>
                    <w:t xml:space="preserve">121 (4%)</w:t>
                  </w:r>
                </w:p>
              </w:tc>
            </w:tr>
            <w:tr>
              <w:tc>
                <w:tcPr/>
                <w:p>
                  <w:pPr>
                    <w:pStyle w:val="Compact"/>
                    <w:jc w:val="center"/>
                  </w:pPr>
                  <w:r>
                    <w:t xml:space="preserve">  Medium</w:t>
                  </w:r>
                </w:p>
              </w:tc>
              <w:tc>
                <w:tcPr/>
                <w:p>
                  <w:pPr>
                    <w:pStyle w:val="Compact"/>
                    <w:jc w:val="center"/>
                  </w:pPr>
                  <w:r>
                    <w:t xml:space="preserve">4836 (78%)</w:t>
                  </w:r>
                </w:p>
              </w:tc>
              <w:tc>
                <w:tcPr/>
                <w:p>
                  <w:pPr>
                    <w:pStyle w:val="Compact"/>
                    <w:jc w:val="center"/>
                  </w:pPr>
                  <w:r>
                    <w:t xml:space="preserve">2374 (78%)</w:t>
                  </w:r>
                </w:p>
              </w:tc>
              <w:tc>
                <w:tcPr/>
                <w:p>
                  <w:pPr>
                    <w:pStyle w:val="Compact"/>
                    <w:jc w:val="center"/>
                  </w:pPr>
                  <w:r>
                    <w:t xml:space="preserve">2462 (77%)</w:t>
                  </w:r>
                </w:p>
              </w:tc>
            </w:tr>
            <w:tr>
              <w:tc>
                <w:tcPr/>
                <w:p>
                  <w:pPr>
                    <w:pStyle w:val="Compact"/>
                    <w:jc w:val="center"/>
                  </w:pPr>
                  <w:r>
                    <w:t xml:space="preserve">  High</w:t>
                  </w:r>
                </w:p>
              </w:tc>
              <w:tc>
                <w:tcPr/>
                <w:p>
                  <w:pPr>
                    <w:pStyle w:val="Compact"/>
                    <w:jc w:val="center"/>
                  </w:pPr>
                  <w:r>
                    <w:t xml:space="preserve">1164 (19%)</w:t>
                  </w:r>
                </w:p>
              </w:tc>
              <w:tc>
                <w:tcPr/>
                <w:p>
                  <w:pPr>
                    <w:pStyle w:val="Compact"/>
                    <w:jc w:val="center"/>
                  </w:pPr>
                  <w:r>
                    <w:t xml:space="preserve">561 (19%)</w:t>
                  </w:r>
                </w:p>
              </w:tc>
              <w:tc>
                <w:tcPr/>
                <w:p>
                  <w:pPr>
                    <w:pStyle w:val="Compact"/>
                    <w:jc w:val="center"/>
                  </w:pPr>
                  <w:r>
                    <w:t xml:space="preserve">603 (19%)</w:t>
                  </w:r>
                </w:p>
              </w:tc>
            </w:tr>
            <w:tr>
              <w:tc>
                <w:tcPr>
                  <w:gridSpan w:val="4"/>
                </w:tcPr>
                <w:p>
                  <w:pPr>
                    <w:pStyle w:val="Compact"/>
                    <w:jc w:val="center"/>
                  </w:pPr>
                  <w:r>
                    <w:rPr>
                      <w:b/>
                      <w:bCs/>
                    </w:rPr>
                    <w:t xml:space="preserve">Paternal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349 (7%)</w:t>
                  </w:r>
                </w:p>
              </w:tc>
              <w:tc>
                <w:tcPr/>
                <w:p>
                  <w:pPr>
                    <w:pStyle w:val="Compact"/>
                    <w:jc w:val="center"/>
                  </w:pPr>
                  <w:r>
                    <w:t xml:space="preserve">165 (6%)</w:t>
                  </w:r>
                </w:p>
              </w:tc>
              <w:tc>
                <w:tcPr/>
                <w:p>
                  <w:pPr>
                    <w:pStyle w:val="Compact"/>
                    <w:jc w:val="center"/>
                  </w:pPr>
                  <w:r>
                    <w:t xml:space="preserve">184 (7%)</w:t>
                  </w:r>
                </w:p>
              </w:tc>
            </w:tr>
            <w:tr>
              <w:tc>
                <w:tcPr/>
                <w:p>
                  <w:pPr>
                    <w:pStyle w:val="Compact"/>
                    <w:jc w:val="center"/>
                  </w:pPr>
                  <w:r>
                    <w:t xml:space="preserve">  Medium</w:t>
                  </w:r>
                </w:p>
              </w:tc>
              <w:tc>
                <w:tcPr/>
                <w:p>
                  <w:pPr>
                    <w:pStyle w:val="Compact"/>
                    <w:jc w:val="center"/>
                  </w:pPr>
                  <w:r>
                    <w:t xml:space="preserve">3475 (66%)</w:t>
                  </w:r>
                </w:p>
              </w:tc>
              <w:tc>
                <w:tcPr/>
                <w:p>
                  <w:pPr>
                    <w:pStyle w:val="Compact"/>
                    <w:jc w:val="center"/>
                  </w:pPr>
                  <w:r>
                    <w:t xml:space="preserve">1676 (65%)</w:t>
                  </w:r>
                </w:p>
              </w:tc>
              <w:tc>
                <w:tcPr/>
                <w:p>
                  <w:pPr>
                    <w:pStyle w:val="Compact"/>
                    <w:jc w:val="center"/>
                  </w:pPr>
                  <w:r>
                    <w:t xml:space="preserve">1799 (66%)</w:t>
                  </w:r>
                </w:p>
              </w:tc>
            </w:tr>
            <w:tr>
              <w:tc>
                <w:tcPr/>
                <w:p>
                  <w:pPr>
                    <w:pStyle w:val="Compact"/>
                    <w:jc w:val="center"/>
                  </w:pPr>
                  <w:r>
                    <w:t xml:space="preserve">  High</w:t>
                  </w:r>
                </w:p>
              </w:tc>
              <w:tc>
                <w:tcPr/>
                <w:p>
                  <w:pPr>
                    <w:pStyle w:val="Compact"/>
                    <w:jc w:val="center"/>
                  </w:pPr>
                  <w:r>
                    <w:t xml:space="preserve">1469 (28%)</w:t>
                  </w:r>
                </w:p>
              </w:tc>
              <w:tc>
                <w:tcPr/>
                <w:p>
                  <w:pPr>
                    <w:pStyle w:val="Compact"/>
                    <w:jc w:val="center"/>
                  </w:pPr>
                  <w:r>
                    <w:t xml:space="preserve">730 (28%)</w:t>
                  </w:r>
                </w:p>
              </w:tc>
              <w:tc>
                <w:tcPr/>
                <w:p>
                  <w:pPr>
                    <w:pStyle w:val="Compact"/>
                    <w:jc w:val="center"/>
                  </w:pPr>
                  <w:r>
                    <w:t xml:space="preserve">739 (27%)</w:t>
                  </w:r>
                </w:p>
              </w:tc>
            </w:tr>
            <w:tr>
              <w:tc>
                <w:tcPr>
                  <w:gridSpan w:val="4"/>
                </w:tcPr>
                <w:p>
                  <w:pPr>
                    <w:pStyle w:val="Compact"/>
                    <w:jc w:val="center"/>
                  </w:pPr>
                  <w:r>
                    <w:t xml:space="preserve"> </w:t>
                  </w:r>
                  <w:r>
                    <w:rPr>
                      <w:vertAlign w:val="superscript"/>
                    </w:rPr>
                    <w:t xml:space="preserve">a</w:t>
                  </w:r>
                  <w:r>
                    <w:t xml:space="preserve"> </w:t>
                  </w:r>
                  <w:r>
                    <w:rPr>
                      <w:b/>
                      <w:bCs/>
                    </w:rPr>
                    <w:t xml:space="preserve">Ethnic backgroung</w:t>
                  </w:r>
                  <w:r>
                    <w:t xml:space="preserve">:</w:t>
                  </w:r>
                  <w:r>
                    <w:br/>
                  </w:r>
                  <w:r>
                    <w:t xml:space="preserve">"White" if both patents identified as "White"; "Non-white" if either parent identified as "Black Caribbean",</w:t>
                  </w:r>
                  <w:r>
                    <w:t xml:space="preserve"> </w:t>
                  </w:r>
                  <w:r>
                    <w:t xml:space="preserve">"Black African", "Other black", "Indian", "Pakistani", "Bangladeshi", "Chinese", or "Other".</w:t>
                  </w:r>
                </w:p>
              </w:tc>
            </w:tr>
          </w:tbl>
          <w:bookmarkEnd w:id="429"/>
          <w:p/>
        </w:tc>
      </w:tr>
    </w:tbl>
    <w:bookmarkEnd w:id="430"/>
    <w:bookmarkStart w:id="436" w:name="main-results"/>
    <w:p>
      <w:pPr>
        <w:pStyle w:val="Heading3"/>
      </w:pPr>
      <w:r>
        <w:t xml:space="preserve">Main results</w:t>
      </w:r>
    </w:p>
    <w:p>
      <w:pPr>
        <w:pStyle w:val="FirstParagraph"/>
      </w:pPr>
      <w:r>
        <w:t xml:space="preserve">Results of the main analyses, examining the co-development of depressive symptoms and FMI, are summarized in</w:t>
      </w:r>
      <w:r>
        <w:t xml:space="preserve"> </w:t>
      </w:r>
      <w:hyperlink w:anchor="tbl-6.2">
        <w:r>
          <w:rPr>
            <w:rStyle w:val="Hyperlink"/>
          </w:rPr>
          <w:t xml:space="preserve">Table 6.2</w:t>
        </w:r>
      </w:hyperlink>
      <w:r>
        <w:t xml:space="preserve"> </w:t>
      </w:r>
      <w:r>
        <w:t xml:space="preserve">and</w:t>
      </w:r>
      <w:r>
        <w:t xml:space="preserve"> </w:t>
      </w:r>
      <w:hyperlink w:anchor="fig-6.2">
        <w:r>
          <w:rPr>
            <w:rStyle w:val="Hyperlink"/>
          </w:rPr>
          <w:t xml:space="preserve">Figure 6.2</w:t>
        </w:r>
      </w:hyperlink>
      <w:r>
        <w:t xml:space="preserve">. The model showed good fit (</w:t>
      </w:r>
      <m:oMath>
        <m:sSup>
          <m:e>
            <m:r>
              <m:t>χ</m:t>
            </m:r>
          </m:e>
          <m:sup>
            <m:r>
              <m:t>2</m:t>
            </m:r>
          </m:sup>
        </m:sSup>
      </m:oMath>
      <w:r>
        <w:t xml:space="preserve">(37) = 356.77,</w:t>
      </w:r>
      <w:r>
        <w:t xml:space="preserve"> </w:t>
      </w:r>
      <w:r>
        <w:rPr>
          <w:i/>
          <w:iCs/>
        </w:rPr>
        <w:t xml:space="preserve">p</w:t>
      </w:r>
      <w:r>
        <w:t xml:space="preserve">&lt;0.001; RMSEA [95%CI] = 0.033 [0.030-0.036]; CFI = 0.991; TLI = 0.983; SRMR = 0.027).</w:t>
      </w:r>
    </w:p>
    <w:p>
      <w:pPr>
        <w:pStyle w:val="BodyText"/>
      </w:pPr>
      <w:r>
        <w:t xml:space="preserve">We found positive auto-regressive associations, indicating substantial within-person stability over time in FMI (mean</w:t>
      </w:r>
      <w:r>
        <w:t xml:space="preserve"> </w:t>
      </w:r>
      <m:oMath>
        <m:r>
          <m:t>β</m:t>
        </m:r>
      </m:oMath>
      <w:r>
        <w:t xml:space="preserve"> </w:t>
      </w:r>
      <w:r>
        <w:t xml:space="preserve">[range] = 0.75 [0.54; 0.84], SE = 0.016) and, to a lower extent, in depressive symptoms (</w:t>
      </w:r>
      <m:oMath>
        <m:r>
          <m:t>β</m:t>
        </m:r>
      </m:oMath>
      <w:r>
        <w:t xml:space="preserve"> </w:t>
      </w:r>
      <w:r>
        <w:t xml:space="preserve">[range] = 0.26 [0.12; 0.38], SE = 0.022).</w:t>
      </w:r>
    </w:p>
    <w:p>
      <w:pPr>
        <w:pStyle w:val="BodyText"/>
      </w:pPr>
      <w:r>
        <w:t xml:space="preserve">After accounting for within-person (i.e., autoregressive associations) and between-person stability (i.e., random intercepts), the following within-person cross-lag dynamics emerged from our models (</w:t>
      </w:r>
      <w:hyperlink w:anchor="tbl-6.2">
        <w:r>
          <w:rPr>
            <w:rStyle w:val="Hyperlink"/>
          </w:rPr>
          <w:t xml:space="preserve">Table 6.2</w:t>
        </w:r>
      </w:hyperlink>
      <w:r>
        <w:t xml:space="preserve">): higher FMI was associated with increased subsequent depressive symptoms across the study period, except between 12 and 14 years (</w:t>
      </w:r>
      <m:oMath>
        <m:r>
          <m:t>β</m:t>
        </m:r>
      </m:oMath>
      <w:r>
        <w:t xml:space="preserve"> </w:t>
      </w:r>
      <w:r>
        <w:t xml:space="preserve">[range] = 0.07 [0.03, 0.13], SE = 0.030); higher depressive symptoms were associated with increased subsequent FMI, although these associations were weaker on average, compared to those between FMI and future depressive symptoms (</w:t>
      </w:r>
      <m:oMath>
        <m:r>
          <m:t>β</m:t>
        </m:r>
      </m:oMath>
      <w:r>
        <w:t xml:space="preserve"> </w:t>
      </w:r>
      <w:r>
        <w:t xml:space="preserve">[range] = 0.04 [0.03, 0.06], SE = 0.01).</w:t>
      </w:r>
    </w:p>
    <w:tbl>
      <w:tblPr>
        <w:tblStyle w:val="Table"/>
        <w:tblW w:type="pct" w:w="5000"/>
        <w:tblLayout w:type="fixed"/>
        <w:tblLook w:firstRow="0" w:lastRow="0" w:firstColumn="0" w:lastColumn="0" w:noHBand="0" w:noVBand="0" w:val="0000"/>
      </w:tblPr>
      <w:tblGrid>
        <w:gridCol w:w="7920"/>
      </w:tblGrid>
      <w:tr>
        <w:tc>
          <w:tcPr/>
          <w:bookmarkStart w:id="431" w:name="tbl-6.2"/>
          <w:p>
            <w:pPr>
              <w:jc w:val="center"/>
            </w:pPr>
            <w:pPr>
              <w:jc w:val="start"/>
              <w:spacing w:before="200"/>
              <w:pStyle w:val="ImageCaption"/>
            </w:pPr>
            <w:r>
              <w:t xml:space="preserve">Table 6.2</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gridSpan w:val="7"/>
                </w:tcPr>
                <w:p>
                  <w:pPr>
                    <w:pStyle w:val="Compact"/>
                    <w:jc w:val="left"/>
                    <w:jc w:val="center"/>
                  </w:pPr>
                  <w:r>
                    <w:rPr>
                      <w:b/>
                      <w:bCs/>
                    </w:rPr>
                    <w:t xml:space="preserve">Auto-regressive and cross-lag associations</w:t>
                  </w:r>
                  <w:r>
                    <w:br/>
                  </w:r>
                  <w:r>
                    <w:t xml:space="preserve">between depressive symptoms and FMI</w:t>
                  </w:r>
                </w:p>
              </w:tc>
            </w:tr>
            <w:tr>
              <w:tc>
                <w:tcPr>
                  <w:gridSpan w:val="3"/>
                </w:tcPr>
                <w:p>
                  <w:pPr>
                    <w:pStyle w:val="Compact"/>
                    <w:jc w:val="left"/>
                    <w:jc w:val="center"/>
                  </w:pPr>
                  <w:r>
                    <w:t xml:space="preserve">Term</w:t>
                  </w:r>
                </w:p>
              </w:tc>
              <w:tc>
                <w:tcPr/>
                <w:p>
                  <w:pPr>
                    <w:pStyle w:val="Compact"/>
                    <w:jc w:val="center"/>
                  </w:pPr>
                  <w:r>
                    <w:t xml:space="preserve">Estimate</w:t>
                  </w:r>
                  <w:r>
                    <w:br/>
                  </w:r>
                  <w:r>
                    <w:t xml:space="preserve">[95%CI]</w:t>
                  </w:r>
                </w:p>
              </w:tc>
              <w:tc>
                <w:tcPr/>
                <w:p>
                  <w:pPr>
                    <w:pStyle w:val="Compact"/>
                    <w:jc w:val="center"/>
                  </w:pPr>
                  <w:r>
                    <w:t xml:space="preserve">Median age</w:t>
                  </w:r>
                  <w:r>
                    <w:br/>
                  </w:r>
                  <w:r>
                    <w:t xml:space="preserve">(years)</w:t>
                  </w:r>
                </w:p>
              </w:tc>
              <w:tc>
                <w:tcPr/>
                <w:p>
                  <w:pPr>
                    <w:pStyle w:val="Compact"/>
                    <w:jc w:val="center"/>
                  </w:pPr>
                  <w:r>
                    <w:t xml:space="preserve">Time lag</w:t>
                  </w:r>
                  <w:r>
                    <w:br/>
                  </w:r>
                  <w:r>
                    <w:t xml:space="preserve">(years)</w:t>
                  </w:r>
                </w:p>
              </w:tc>
              <w:tc>
                <w:tcPr/>
                <w:p>
                  <w:pPr>
                    <w:pStyle w:val="Compact"/>
                    <w:jc w:val="center"/>
                  </w:pPr>
                  <w:r>
                    <w:t xml:space="preserve">Yearly</w:t>
                  </w:r>
                  <w:r>
                    <w:br/>
                  </w:r>
                  <w:r>
                    <w:t xml:space="preserve">estimate [95%CI]</w:t>
                  </w:r>
                </w:p>
              </w:tc>
            </w:tr>
            <w:tr>
              <w:tc>
                <w:tcPr>
                  <w:vMerge w:val="restart"/>
                </w:tcPr>
                <w:p>
                  <w:pPr>
                    <w:pStyle w:val="Compact"/>
                    <w:jc w:val="left"/>
                    <w:jc w:val="center"/>
                  </w:pPr>
                  <w:r>
                    <w:rPr>
                      <w:b/>
                      <w:bCs/>
                    </w:rPr>
                    <w:t xml:space="preserve">Auto-regressive</w:t>
                  </w:r>
                  <w:r>
                    <w:br/>
                  </w:r>
                  <w:r>
                    <w:rPr>
                      <w:b/>
                      <w:bCs/>
                    </w:rPr>
                    <w:t xml:space="preserve">associations</w:t>
                  </w:r>
                </w:p>
              </w:tc>
              <w:tc>
                <w:tcPr>
                  <w:vMerge w:val="restart"/>
                </w:tcPr>
                <w:p>
                  <w:pPr>
                    <w:pStyle w:val="Compact"/>
                    <w:jc w:val="left"/>
                    <w:jc w:val="center"/>
                  </w:pPr>
                  <w:r>
                    <w:t xml:space="preserve">Fat mass index (FMI)</w:t>
                  </w:r>
                </w:p>
              </w:tc>
              <w:tc>
                <w:tcPr/>
                <w:p>
                  <w:pPr>
                    <w:pStyle w:val="Compact"/>
                    <w:jc w:val="left"/>
                    <w:jc w:val="center"/>
                  </w:pPr>
                  <w:r>
                    <w:t xml:space="preserve">1</w:t>
                  </w:r>
                </w:p>
              </w:tc>
              <w:tc>
                <w:tcPr/>
                <w:p>
                  <w:pPr>
                    <w:pStyle w:val="Compact"/>
                    <w:jc w:val="center"/>
                  </w:pPr>
                  <w:r>
                    <w:rPr>
                      <w:b/>
                      <w:bCs/>
                    </w:rPr>
                    <w:t xml:space="preserve">0.84 [0.82; 0.85]</w:t>
                  </w:r>
                </w:p>
              </w:tc>
              <w:tc>
                <w:tcPr/>
                <w:p>
                  <w:pPr>
                    <w:pStyle w:val="Compact"/>
                    <w:jc w:val="center"/>
                  </w:pPr>
                  <w:r>
                    <w:t xml:space="preserve">9.8 → 11.8</w:t>
                  </w:r>
                </w:p>
              </w:tc>
              <w:tc>
                <w:tcPr/>
                <w:p>
                  <w:pPr>
                    <w:pStyle w:val="Compact"/>
                    <w:jc w:val="center"/>
                  </w:pPr>
                  <w:r>
                    <w:t xml:space="preserve">2.0</w:t>
                  </w:r>
                </w:p>
              </w:tc>
              <w:tc>
                <w:tcPr/>
                <w:p>
                  <w:pPr>
                    <w:pStyle w:val="Compact"/>
                    <w:jc w:val="center"/>
                  </w:pPr>
                  <w:r>
                    <w:t xml:space="preserve">0.42 [0.41; 0.43]</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0.73 [0.71; 0.76]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0.37 [0.36; 0.38]</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0.84 [0.82; 0.85]</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0.52 [0.51; 0.53]</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0.82 [0.80; 0.84]</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0.34 [0.33; 0.35]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0.54 [0.47; 0.60]</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0.08 [0.07; 0.09]</w:t>
                  </w:r>
                </w:p>
              </w:tc>
            </w:tr>
            <w:tr>
              <w:tc>
                <w:tcPr>
                  <w:gridSpan w:val="1"/>
                  <w:vMerge w:val="continue"/>
                </w:tcPr>
                <w:p>
                  <w:pPr/>
                </w:p>
              </w:tc>
              <w:tc>
                <w:tcPr>
                  <w:vMerge w:val="restart"/>
                </w:tcPr>
                <w:p>
                  <w:pPr>
                    <w:pStyle w:val="Compact"/>
                    <w:jc w:val="left"/>
                    <w:jc w:val="center"/>
                  </w:pPr>
                  <w:r>
                    <w:t xml:space="preserve">Depressive symptoms</w:t>
                  </w:r>
                </w:p>
              </w:tc>
              <w:tc>
                <w:tcPr/>
                <w:p>
                  <w:pPr>
                    <w:pStyle w:val="Compact"/>
                    <w:jc w:val="left"/>
                    <w:jc w:val="center"/>
                  </w:pPr>
                  <w:r>
                    <w:t xml:space="preserve">1</w:t>
                  </w:r>
                </w:p>
              </w:tc>
              <w:tc>
                <w:tcPr/>
                <w:p>
                  <w:pPr>
                    <w:pStyle w:val="Compact"/>
                    <w:jc w:val="center"/>
                  </w:pPr>
                  <w:r>
                    <w:rPr>
                      <w:b/>
                      <w:bCs/>
                    </w:rPr>
                    <w:t xml:space="preserve">0.12 [0.08; 0.16]</w:t>
                  </w:r>
                </w:p>
              </w:tc>
              <w:tc>
                <w:tcPr/>
                <w:p>
                  <w:pPr>
                    <w:pStyle w:val="Compact"/>
                    <w:jc w:val="center"/>
                  </w:pPr>
                  <w:r>
                    <w:t xml:space="preserve">10.6 → 12.8</w:t>
                  </w:r>
                </w:p>
              </w:tc>
              <w:tc>
                <w:tcPr/>
                <w:p>
                  <w:pPr>
                    <w:pStyle w:val="Compact"/>
                    <w:jc w:val="center"/>
                  </w:pPr>
                  <w:r>
                    <w:t xml:space="preserve">2.2</w:t>
                  </w:r>
                </w:p>
              </w:tc>
              <w:tc>
                <w:tcPr/>
                <w:p>
                  <w:pPr>
                    <w:pStyle w:val="Compact"/>
                    <w:jc w:val="center"/>
                  </w:pPr>
                  <w:r>
                    <w:t xml:space="preserve">0.05 [0.04; 0.07]</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0.32 [0.28; 0.35]</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0.32 [0.28; 0.35]</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0.21 [0.18; 0.25]</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0.08 [0.06; 0.09]</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0.38 [0.34; 0.42]</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0.31 [0.28; 0.35]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0.26 [0.21; 0.30]</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0.04 [0.03; 0.05]</w:t>
                  </w:r>
                </w:p>
              </w:tc>
            </w:tr>
            <w:tr>
              <w:tc>
                <w:tcPr>
                  <w:vMerge w:val="restart"/>
                </w:tcPr>
                <w:p>
                  <w:pPr>
                    <w:pStyle w:val="Compact"/>
                    <w:jc w:val="left"/>
                    <w:jc w:val="center"/>
                  </w:pPr>
                  <w:r>
                    <w:rPr>
                      <w:b/>
                      <w:bCs/>
                    </w:rPr>
                    <w:t xml:space="preserve">Cross-lag</w:t>
                  </w:r>
                  <w:r>
                    <w:br/>
                  </w:r>
                  <w:r>
                    <w:rPr>
                      <w:b/>
                      <w:bCs/>
                    </w:rPr>
                    <w:t xml:space="preserve">associations</w:t>
                  </w:r>
                </w:p>
              </w:tc>
              <w:tc>
                <w:tcPr>
                  <w:vMerge w:val="restart"/>
                </w:tcPr>
                <w:p>
                  <w:pPr>
                    <w:pStyle w:val="Compact"/>
                    <w:jc w:val="left"/>
                    <w:jc w:val="center"/>
                  </w:pPr>
                  <w:r>
                    <w:t xml:space="preserve">FMI→Dep</w:t>
                  </w:r>
                </w:p>
              </w:tc>
              <w:tc>
                <w:tcPr/>
                <w:p>
                  <w:pPr>
                    <w:pStyle w:val="Compact"/>
                    <w:jc w:val="left"/>
                    <w:jc w:val="center"/>
                  </w:pPr>
                  <w:r>
                    <w:t xml:space="preserve">1</w:t>
                  </w:r>
                </w:p>
              </w:tc>
              <w:tc>
                <w:tcPr/>
                <w:p>
                  <w:pPr>
                    <w:pStyle w:val="Compact"/>
                    <w:jc w:val="center"/>
                  </w:pPr>
                  <w:r>
                    <w:rPr>
                      <w:b/>
                      <w:bCs/>
                    </w:rPr>
                    <w:t xml:space="preserve">0.04 [0.00; 0.09]</w:t>
                  </w:r>
                </w:p>
              </w:tc>
              <w:tc>
                <w:tcPr/>
                <w:p>
                  <w:pPr>
                    <w:pStyle w:val="Compact"/>
                    <w:jc w:val="center"/>
                  </w:pPr>
                  <w:r>
                    <w:t xml:space="preserve">9.8 → 12.8</w:t>
                  </w:r>
                </w:p>
              </w:tc>
              <w:tc>
                <w:tcPr/>
                <w:p>
                  <w:pPr>
                    <w:pStyle w:val="Compact"/>
                    <w:jc w:val="center"/>
                  </w:pPr>
                  <w:r>
                    <w:t xml:space="preserve">3.0</w:t>
                  </w:r>
                </w:p>
              </w:tc>
              <w:tc>
                <w:tcPr/>
                <w:p>
                  <w:pPr>
                    <w:pStyle w:val="Compact"/>
                    <w:jc w:val="center"/>
                  </w:pPr>
                  <w:r>
                    <w:t xml:space="preserve">0.01 [0.00; 0.03]</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t xml:space="preserve">0.03 [-0.01; 0.06]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0.01 [-0.01; 0.03]</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0.13 [0.09; 0.17]</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0.05 [0.03; 0.06]</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0.08 [0.03; 0.12]</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0.08 [0.03; 0.13]</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0.01 [0.01; 0.02]</w:t>
                  </w:r>
                </w:p>
              </w:tc>
            </w:tr>
            <w:tr>
              <w:tc>
                <w:tcPr>
                  <w:gridSpan w:val="1"/>
                  <w:vMerge w:val="continue"/>
                </w:tcPr>
                <w:p>
                  <w:pPr/>
                </w:p>
              </w:tc>
              <w:tc>
                <w:tcPr>
                  <w:vMerge w:val="restart"/>
                </w:tcPr>
                <w:p>
                  <w:pPr>
                    <w:pStyle w:val="Compact"/>
                    <w:jc w:val="left"/>
                    <w:jc w:val="center"/>
                  </w:pPr>
                  <w:r>
                    <w:t xml:space="preserve">Dep→FMI</w:t>
                  </w:r>
                </w:p>
              </w:tc>
              <w:tc>
                <w:tcPr/>
                <w:p>
                  <w:pPr>
                    <w:pStyle w:val="Compact"/>
                    <w:jc w:val="left"/>
                    <w:jc w:val="center"/>
                  </w:pPr>
                  <w:r>
                    <w:t xml:space="preserve">1</w:t>
                  </w:r>
                </w:p>
              </w:tc>
              <w:tc>
                <w:tcPr/>
                <w:p>
                  <w:pPr>
                    <w:pStyle w:val="Compact"/>
                    <w:jc w:val="center"/>
                  </w:pPr>
                  <w:r>
                    <w:rPr>
                      <w:b/>
                      <w:bCs/>
                    </w:rPr>
                    <w:t xml:space="preserve">0.03 [0.01; 0.05]</w:t>
                  </w:r>
                </w:p>
              </w:tc>
              <w:tc>
                <w:tcPr/>
                <w:p>
                  <w:pPr>
                    <w:pStyle w:val="Compact"/>
                    <w:jc w:val="center"/>
                  </w:pPr>
                  <w:r>
                    <w:t xml:space="preserve">10.6 → 11.8</w:t>
                  </w:r>
                </w:p>
              </w:tc>
              <w:tc>
                <w:tcPr/>
                <w:p>
                  <w:pPr>
                    <w:pStyle w:val="Compact"/>
                    <w:jc w:val="center"/>
                  </w:pPr>
                  <w:r>
                    <w:t xml:space="preserve">1.2</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0.04 [0.01; 0.06]</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0.04 [0.01; 0.06]</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0.05 [0.03; 0.07]</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0.03 [0.02; 0.04]</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0.03 [0.00; 0.05]</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0.02 [0.00; 0.04]</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0.06 [0.00; 0.12]</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0.01 [0.00; 0.02]</w:t>
                  </w:r>
                </w:p>
              </w:tc>
            </w:tr>
            <w:tr>
              <w:tc>
                <w:tcPr>
                  <w:vMerge w:val="restart"/>
                </w:tcPr>
                <w:p>
                  <w:pPr>
                    <w:pStyle w:val="Compact"/>
                    <w:jc w:val="left"/>
                    <w:jc w:val="center"/>
                  </w:pPr>
                  <w:r>
                    <w:rPr>
                      <w:b/>
                      <w:bCs/>
                    </w:rPr>
                    <w:t xml:space="preserve">Cross-sectional correlations</w:t>
                  </w:r>
                </w:p>
              </w:tc>
              <w:tc>
                <w:tcPr>
                  <w:vMerge w:val="restart"/>
                </w:tcPr>
                <w:p>
                  <w:pPr>
                    <w:pStyle w:val="Compact"/>
                    <w:jc w:val="left"/>
                    <w:jc w:val="center"/>
                  </w:pPr>
                  <w:r>
                    <w:t xml:space="preserve">FMI ~ Dep</w:t>
                  </w:r>
                </w:p>
              </w:tc>
              <w:tc>
                <w:tcPr/>
                <w:p>
                  <w:pPr>
                    <w:pStyle w:val="Compact"/>
                    <w:jc w:val="left"/>
                    <w:jc w:val="center"/>
                  </w:pPr>
                  <w:r>
                    <w:t xml:space="preserve">1</w:t>
                  </w:r>
                </w:p>
              </w:tc>
              <w:tc>
                <w:tcPr/>
                <w:p>
                  <w:pPr>
                    <w:pStyle w:val="Compact"/>
                    <w:jc w:val="center"/>
                  </w:pPr>
                  <w:r>
                    <w:rPr>
                      <w:b/>
                      <w:bCs/>
                    </w:rPr>
                    <w:t xml:space="preserve">-0.08 [-0.12; -0.04]</w:t>
                  </w:r>
                </w:p>
              </w:tc>
              <w:tc>
                <w:tcPr/>
                <w:p>
                  <w:pPr>
                    <w:pStyle w:val="Compact"/>
                    <w:jc w:val="center"/>
                  </w:pPr>
                  <w:r>
                    <w:t xml:space="preserve">9.8 ~ 10.6</w:t>
                  </w:r>
                </w:p>
              </w:tc>
              <w:tc>
                <w:tcPr/>
                <w:p>
                  <w:pPr>
                    <w:pStyle w:val="Compact"/>
                    <w:jc w:val="center"/>
                  </w:pPr>
                  <w:r>
                    <w:t xml:space="preserve">0.8</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t xml:space="preserve">0.02 [-0.02; 0.06]</w:t>
                  </w:r>
                </w:p>
              </w:tc>
              <w:tc>
                <w:tcPr/>
                <w:p>
                  <w:pPr>
                    <w:pStyle w:val="Compact"/>
                    <w:jc w:val="center"/>
                  </w:pPr>
                  <w:r>
                    <w:t xml:space="preserve">11.8 ~ 12.8</w:t>
                  </w:r>
                </w:p>
              </w:tc>
              <w:tc>
                <w:tcPr/>
                <w:p>
                  <w:pPr>
                    <w:pStyle w:val="Compact"/>
                    <w:jc w:val="center"/>
                  </w:pPr>
                  <w:r>
                    <w:t xml:space="preserve">1.0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0.10 [0.07; 0.13]</w:t>
                  </w:r>
                </w:p>
              </w:tc>
              <w:tc>
                <w:tcPr/>
                <w:p>
                  <w:pPr>
                    <w:pStyle w:val="Compact"/>
                    <w:jc w:val="center"/>
                  </w:pPr>
                  <w:r>
                    <w:t xml:space="preserve">13.8 ~ 13.8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0.11 [0.07; 0.14]</w:t>
                  </w:r>
                </w:p>
              </w:tc>
              <w:tc>
                <w:tcPr/>
                <w:p>
                  <w:pPr>
                    <w:pStyle w:val="Compact"/>
                    <w:jc w:val="center"/>
                  </w:pPr>
                  <w:r>
                    <w:t xml:space="preserve">15.4 ~ 16.6</w:t>
                  </w:r>
                </w:p>
              </w:tc>
              <w:tc>
                <w:tcPr/>
                <w:p>
                  <w:pPr>
                    <w:pStyle w:val="Compact"/>
                    <w:jc w:val="center"/>
                  </w:pPr>
                  <w:r>
                    <w:t xml:space="preserve">1.2</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t xml:space="preserve">-0.02 [-0.06; 0.01]</w:t>
                  </w:r>
                </w:p>
              </w:tc>
              <w:tc>
                <w:tcPr/>
                <w:p>
                  <w:pPr>
                    <w:pStyle w:val="Compact"/>
                    <w:jc w:val="center"/>
                  </w:pPr>
                  <w:r>
                    <w:t xml:space="preserve">17.8 ~ 17.8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6</w:t>
                  </w:r>
                </w:p>
              </w:tc>
              <w:tc>
                <w:tcPr/>
                <w:p>
                  <w:pPr>
                    <w:pStyle w:val="Compact"/>
                    <w:jc w:val="center"/>
                  </w:pPr>
                  <w:r>
                    <w:rPr>
                      <w:b/>
                      <w:bCs/>
                    </w:rPr>
                    <w:t xml:space="preserve">0.10 [0.03; 0.17]</w:t>
                  </w:r>
                </w:p>
              </w:tc>
              <w:tc>
                <w:tcPr/>
                <w:p>
                  <w:pPr>
                    <w:pStyle w:val="Compact"/>
                    <w:jc w:val="center"/>
                  </w:pPr>
                  <w:r>
                    <w:t xml:space="preserve">23.8 ~ 24.5</w:t>
                  </w:r>
                </w:p>
              </w:tc>
              <w:tc>
                <w:tcPr/>
                <w:p>
                  <w:pPr>
                    <w:pStyle w:val="Compact"/>
                    <w:jc w:val="center"/>
                  </w:pPr>
                  <w:r>
                    <w:t xml:space="preserve">0.7</w:t>
                  </w:r>
                </w:p>
              </w:tc>
              <w:tc>
                <w:tcPr/>
                <w:p>
                  <w:pPr>
                    <w:pStyle w:val="Compact"/>
                    <w:jc w:val="center"/>
                  </w:pPr>
                  <w:r>
                    <w:t xml:space="preserve"> </w:t>
                  </w:r>
                </w:p>
              </w:tc>
            </w:tr>
          </w:tbl>
          <w:bookmarkEnd w:id="431"/>
          <w:p/>
        </w:tc>
      </w:tr>
    </w:tbl>
    <w:p/>
    <w:tbl>
      <w:tblPr>
        <w:tblStyle w:val="Table"/>
        <w:tblW w:type="pct" w:w="5000"/>
        <w:tblLayout w:type="fixed"/>
        <w:tblLook w:firstRow="0" w:lastRow="0" w:firstColumn="0" w:lastColumn="0" w:noHBand="0" w:noVBand="0" w:val="0000"/>
      </w:tblPr>
      <w:tblGrid>
        <w:gridCol w:w="7920"/>
      </w:tblGrid>
      <w:tr>
        <w:tc>
          <w:tcPr/>
          <w:bookmarkStart w:id="435" w:name="fig-6.2"/>
          <w:p>
            <w:pPr>
              <w:pStyle w:val="Compact"/>
              <w:jc w:val="center"/>
            </w:pPr>
            <w:r>
              <w:drawing>
                <wp:inline>
                  <wp:extent cx="5943600" cy="3887009"/>
                  <wp:effectExtent b="0" l="0" r="0" t="0"/>
                  <wp:docPr descr="" title="" id="433" name="Picture"/>
                  <a:graphic>
                    <a:graphicData uri="http://schemas.openxmlformats.org/drawingml/2006/picture">
                      <pic:pic>
                        <pic:nvPicPr>
                          <pic:cNvPr descr="6.Chapter/Figures/F2_resdag.png" id="434" name="Picture"/>
                          <pic:cNvPicPr>
                            <a:picLocks noChangeArrowheads="1" noChangeAspect="1"/>
                          </pic:cNvPicPr>
                        </pic:nvPicPr>
                        <pic:blipFill>
                          <a:blip r:embed="rId432"/>
                          <a:stretch>
                            <a:fillRect/>
                          </a:stretch>
                        </pic:blipFill>
                        <pic:spPr bwMode="auto">
                          <a:xfrm>
                            <a:off x="0" y="0"/>
                            <a:ext cx="5943600" cy="3887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w:t>
            </w:r>
            <w:r>
              <w:t xml:space="preserve"> </w:t>
            </w:r>
            <w:r>
              <w:rPr>
                <w:b/>
                <w:bCs/>
              </w:rPr>
              <w:t xml:space="preserve">RI-CLPM of depressive symptoms and FMI</w:t>
            </w:r>
            <w:r>
              <w:t xml:space="preserve">(A) Results of the main analysis (i.e., beta values and their 95% confidence intervals) are displayed within their implied directed graph. Autoregressive associations are shown in red for FMI and in blue for depressive symptoms (Dep), while cross-lag effects are shown in yellow for FMI to depressive symptoms paths and in purple for depressive symptoms to FMI paths. Grey boxed enclose the correlation coefficients (and their 95% confidence intervals) between the two random intercepts, as well as the cross-sectional correlations between the two outcomes at each measurement wave.</w:t>
            </w:r>
          </w:p>
          <w:bookmarkEnd w:id="435"/>
        </w:tc>
      </w:tr>
    </w:tbl>
    <w:p>
      <w:pPr>
        <w:pStyle w:val="BodyText"/>
      </w:pPr>
      <w:r>
        <w:t xml:space="preserve">We additionally found a positive correlation between the random intercepts (</w:t>
      </w:r>
      <m:oMath>
        <m:r>
          <m:t>r</m:t>
        </m:r>
      </m:oMath>
      <w:r>
        <w:t xml:space="preserve"> [95%CI] = 0.11 [0.06-0.16]), suggesting some stability of between-person associations between depressive symptoms and FMI.</w:t>
      </w:r>
    </w:p>
    <w:bookmarkEnd w:id="436"/>
    <w:bookmarkStart w:id="437" w:name="exploratory-analysis-results"/>
    <w:p>
      <w:pPr>
        <w:pStyle w:val="Heading3"/>
      </w:pPr>
      <w:r>
        <w:t xml:space="preserve">Exploratory analysis results</w:t>
      </w:r>
    </w:p>
    <w:bookmarkEnd w:id="437"/>
    <w:bookmarkEnd w:id="438"/>
    <w:bookmarkStart w:id="439" w:name="discussion-4"/>
    <w:p>
      <w:pPr>
        <w:pStyle w:val="Heading2"/>
      </w:pPr>
      <w:r>
        <w:t xml:space="preserve">6.4 Discussion</w:t>
      </w:r>
    </w:p>
    <w:bookmarkEnd w:id="439"/>
    <w:bookmarkStart w:id="440" w:name="references-5"/>
    <w:p>
      <w:pPr>
        <w:pStyle w:val="Heading2"/>
      </w:pPr>
      <w:r>
        <w:t xml:space="preserve">References</w:t>
      </w:r>
    </w:p>
    <w:bookmarkEnd w:id="440"/>
    <w:bookmarkStart w:id="496" w:name="bibliography--6"/>
    <w:p>
      <w:pPr>
        <w:pStyle w:val="Heading2"/>
      </w:pPr>
      <w:r>
        <w:t xml:space="preserve">References</w:t>
      </w:r>
    </w:p>
    <w:bookmarkStart w:id="495" w:name="refs--6"/>
    <w:bookmarkStart w:id="441" w:name="ref-Angold1995"/>
    <w:p>
      <w:pPr>
        <w:pStyle w:val="FirstParagraph"/>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441"/>
    <w:bookmarkStart w:id="442"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442"/>
    <w:bookmarkStart w:id="443"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443"/>
    <w:bookmarkStart w:id="444"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444"/>
    <w:bookmarkStart w:id="446" w:name="ref-Bradley2008"/>
    <w:p>
      <w:pPr>
        <w:pStyle w:val="BodyText"/>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45">
        <w:r>
          <w:rPr>
            <w:rStyle w:val="Hyperlink"/>
          </w:rPr>
          <w:t xml:space="preserve">https://doi.org/10.1016/j.jpeds.2008.05.026</w:t>
        </w:r>
      </w:hyperlink>
    </w:p>
    <w:bookmarkEnd w:id="446"/>
    <w:bookmarkStart w:id="448" w:name="ref-Carey2014"/>
    <w:p>
      <w:pPr>
        <w:pStyle w:val="BodyText"/>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47">
        <w:r>
          <w:rPr>
            <w:rStyle w:val="Hyperlink"/>
          </w:rPr>
          <w:t xml:space="preserve">https://doi.org/10.3399/bjgp14X677482</w:t>
        </w:r>
      </w:hyperlink>
    </w:p>
    <w:bookmarkEnd w:id="448"/>
    <w:bookmarkStart w:id="450" w:name="ref-Chen2023"/>
    <w:p>
      <w:pPr>
        <w:pStyle w:val="BodyText"/>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49">
        <w:r>
          <w:rPr>
            <w:rStyle w:val="Hyperlink"/>
          </w:rPr>
          <w:t xml:space="preserve">https://doi.org/10.1016/j.jad.2023.07.044</w:t>
        </w:r>
      </w:hyperlink>
    </w:p>
    <w:bookmarkEnd w:id="450"/>
    <w:bookmarkStart w:id="452" w:name="ref-Cohen2019"/>
    <w:p>
      <w:pPr>
        <w:pStyle w:val="BodyText"/>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51">
        <w:r>
          <w:rPr>
            <w:rStyle w:val="Hyperlink"/>
          </w:rPr>
          <w:t xml:space="preserve">https://doi.org/10.1007/s10578-019-00869-6</w:t>
        </w:r>
      </w:hyperlink>
    </w:p>
    <w:bookmarkEnd w:id="452"/>
    <w:bookmarkStart w:id="454" w:name="ref-Curran2014"/>
    <w:p>
      <w:pPr>
        <w:pStyle w:val="BodyText"/>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53">
        <w:r>
          <w:rPr>
            <w:rStyle w:val="Hyperlink"/>
          </w:rPr>
          <w:t xml:space="preserve">https://doi.org/10.1037/a0035297</w:t>
        </w:r>
      </w:hyperlink>
    </w:p>
    <w:bookmarkEnd w:id="454"/>
    <w:bookmarkStart w:id="456" w:name="ref-Dangardt2019"/>
    <w:p>
      <w:pPr>
        <w:pStyle w:val="BodyText"/>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55">
        <w:r>
          <w:rPr>
            <w:rStyle w:val="Hyperlink"/>
          </w:rPr>
          <w:t xml:space="preserve">https://doi.org/10.1016/S2352-4642(19)30105-1</w:t>
        </w:r>
      </w:hyperlink>
    </w:p>
    <w:bookmarkEnd w:id="456"/>
    <w:bookmarkStart w:id="457"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457"/>
    <w:bookmarkStart w:id="459" w:name="ref-Dencker2007"/>
    <w:p>
      <w:pPr>
        <w:pStyle w:val="BodyText"/>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58">
        <w:r>
          <w:rPr>
            <w:rStyle w:val="Hyperlink"/>
          </w:rPr>
          <w:t xml:space="preserve">https://doi.org/10.1111/j.1475-097X.2007.00709.x</w:t>
        </w:r>
      </w:hyperlink>
    </w:p>
    <w:bookmarkEnd w:id="459"/>
    <w:bookmarkStart w:id="461" w:name="ref-Forman-Hoffman2007"/>
    <w:p>
      <w:pPr>
        <w:pStyle w:val="BodyText"/>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60">
        <w:r>
          <w:rPr>
            <w:rStyle w:val="Hyperlink"/>
          </w:rPr>
          <w:t xml:space="preserve">https://doi.org/10.1093/geronb/62.1.s43</w:t>
        </w:r>
      </w:hyperlink>
    </w:p>
    <w:bookmarkEnd w:id="461"/>
    <w:bookmarkStart w:id="46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462"/>
    <w:bookmarkStart w:id="463"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3"/>
    <w:bookmarkStart w:id="465" w:name="ref-Hamaker2015"/>
    <w:p>
      <w:pPr>
        <w:pStyle w:val="BodyText"/>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64">
        <w:r>
          <w:rPr>
            <w:rStyle w:val="Hyperlink"/>
          </w:rPr>
          <w:t xml:space="preserve">https://doi.org/10.1037/a0038889</w:t>
        </w:r>
      </w:hyperlink>
    </w:p>
    <w:bookmarkEnd w:id="465"/>
    <w:bookmarkStart w:id="467" w:name="ref-Harris2009"/>
    <w:p>
      <w:pPr>
        <w:pStyle w:val="BodyText"/>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66">
        <w:r>
          <w:rPr>
            <w:rStyle w:val="Hyperlink"/>
          </w:rPr>
          <w:t xml:space="preserve">https://doi.org/10.1016/j.jbi.2008.08.010</w:t>
        </w:r>
      </w:hyperlink>
    </w:p>
    <w:bookmarkEnd w:id="467"/>
    <w:bookmarkStart w:id="469" w:name="ref-Jansen2013"/>
    <w:p>
      <w:pPr>
        <w:pStyle w:val="BodyText"/>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68">
        <w:r>
          <w:rPr>
            <w:rStyle w:val="Hyperlink"/>
          </w:rPr>
          <w:t xml:space="preserve">https://doi.org/10.1016/j.acap.2012.12.001</w:t>
        </w:r>
      </w:hyperlink>
    </w:p>
    <w:bookmarkEnd w:id="469"/>
    <w:bookmarkStart w:id="471" w:name="ref-Jokela2023"/>
    <w:p>
      <w:pPr>
        <w:pStyle w:val="BodyText"/>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70">
        <w:r>
          <w:rPr>
            <w:rStyle w:val="Hyperlink"/>
          </w:rPr>
          <w:t xml:space="preserve">https://doi.org/10.1016/j.jpsychires.2023.05.034</w:t>
        </w:r>
      </w:hyperlink>
    </w:p>
    <w:bookmarkEnd w:id="471"/>
    <w:bookmarkStart w:id="472"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472"/>
    <w:bookmarkStart w:id="473" w:name="ref-Kline2016"/>
    <w:p>
      <w:pPr>
        <w:pStyle w:val="BodyText"/>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473"/>
    <w:bookmarkStart w:id="475" w:name="ref-Konttinen2014"/>
    <w:p>
      <w:pPr>
        <w:pStyle w:val="BodyText"/>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474">
        <w:r>
          <w:rPr>
            <w:rStyle w:val="Hyperlink"/>
          </w:rPr>
          <w:t xml:space="preserve">https://doi.org/10.1038/ijo.2013.151</w:t>
        </w:r>
      </w:hyperlink>
    </w:p>
    <w:bookmarkEnd w:id="475"/>
    <w:bookmarkStart w:id="477" w:name="ref-Kwong2019"/>
    <w:p>
      <w:pPr>
        <w:pStyle w:val="BodyText"/>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476">
        <w:r>
          <w:rPr>
            <w:rStyle w:val="Hyperlink"/>
          </w:rPr>
          <w:t xml:space="preserve">https://doi.org/10.12688/wellcomeopenres.15395.2</w:t>
        </w:r>
      </w:hyperlink>
    </w:p>
    <w:bookmarkEnd w:id="477"/>
    <w:bookmarkStart w:id="479" w:name="ref-Liu2013"/>
    <w:p>
      <w:pPr>
        <w:pStyle w:val="BodyText"/>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478">
        <w:r>
          <w:rPr>
            <w:rStyle w:val="Hyperlink"/>
          </w:rPr>
          <w:t xml:space="preserve">https://doi.org/10.1186/1471-2458-13-629</w:t>
        </w:r>
      </w:hyperlink>
    </w:p>
    <w:bookmarkEnd w:id="479"/>
    <w:bookmarkStart w:id="480"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480"/>
    <w:bookmarkStart w:id="481"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481"/>
    <w:bookmarkStart w:id="482"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482"/>
    <w:bookmarkStart w:id="484" w:name="ref-Northstone2019"/>
    <w:p>
      <w:pPr>
        <w:pStyle w:val="BodyText"/>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483">
        <w:r>
          <w:rPr>
            <w:rStyle w:val="Hyperlink"/>
          </w:rPr>
          <w:t xml:space="preserve">https://doi.org/10.12688/wellcomeopenres.15132.1</w:t>
        </w:r>
      </w:hyperlink>
    </w:p>
    <w:bookmarkEnd w:id="484"/>
    <w:bookmarkStart w:id="485"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485"/>
    <w:bookmarkStart w:id="48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486"/>
    <w:bookmarkStart w:id="488" w:name="ref-Rosseel2012"/>
    <w:p>
      <w:pPr>
        <w:pStyle w:val="BodyText"/>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487">
        <w:r>
          <w:rPr>
            <w:rStyle w:val="Hyperlink"/>
          </w:rPr>
          <w:t xml:space="preserve">https://doi.org/10.18637/jss.v048.i02</w:t>
        </w:r>
      </w:hyperlink>
    </w:p>
    <w:bookmarkEnd w:id="488"/>
    <w:bookmarkStart w:id="489"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489"/>
    <w:bookmarkStart w:id="491" w:name="ref-Vanderwall2017"/>
    <w:p>
      <w:pPr>
        <w:pStyle w:val="BodyText"/>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490">
        <w:r>
          <w:rPr>
            <w:rStyle w:val="Hyperlink"/>
          </w:rPr>
          <w:t xml:space="preserve">https://doi.org/10.1186/s12887-017-0891-z</w:t>
        </w:r>
      </w:hyperlink>
    </w:p>
    <w:bookmarkEnd w:id="491"/>
    <w:bookmarkStart w:id="492"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492"/>
    <w:bookmarkStart w:id="494" w:name="ref-Zhou2022"/>
    <w:p>
      <w:pPr>
        <w:pStyle w:val="BodyText"/>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493">
        <w:r>
          <w:rPr>
            <w:rStyle w:val="Hyperlink"/>
          </w:rPr>
          <w:t xml:space="preserve">https://doi.org/10.1111/jcpp.13474</w:t>
        </w:r>
      </w:hyperlink>
    </w:p>
    <w:bookmarkEnd w:id="494"/>
    <w:bookmarkEnd w:id="495"/>
    <w:bookmarkEnd w:id="496"/>
    <w:bookmarkEnd w:id="497"/>
    <w:bookmarkStart w:id="619" w:name="sec-chapter7"/>
    <w:p>
      <w:pPr>
        <w:pStyle w:val="Heading1"/>
      </w:pPr>
      <w:r>
        <w:t xml:space="preserve">7. Arterial health and brain development</w:t>
      </w:r>
    </w:p>
    <w:p>
      <w:pPr>
        <w:pStyle w:val="FirstParagraph"/>
      </w:pPr>
      <w:r>
        <w:t xml:space="preserve">Adapted from:</w:t>
      </w:r>
    </w:p>
    <w:p>
      <w:pPr>
        <w:pStyle w:val="BodyText"/>
      </w:pPr>
      <w:r>
        <w:rPr>
          <w:b/>
          <w:bCs/>
        </w:rPr>
        <w:t xml:space="preserve">Associations of arterial thickness, stiffness and blood pressure with brain morphology in early adolescence: A prospective population-based study</w:t>
      </w:r>
    </w:p>
    <w:p>
      <w:pPr>
        <w:pStyle w:val="BodyText"/>
      </w:pPr>
      <w:r>
        <w:t xml:space="preserve">Defina, S., Silva, C.C.V., Cecil, C.A.M., Tiemeier, H., Felix, J.F., Mutzel, R.L., &amp; Jaddoe, V.W.V. (2023).</w:t>
      </w:r>
      <w:r>
        <w:t xml:space="preserve"> </w:t>
      </w:r>
      <w:r>
        <w:rPr>
          <w:i/>
          <w:iCs/>
        </w:rPr>
        <w:t xml:space="preserve">Hypertension</w:t>
      </w:r>
      <w:r>
        <w:t xml:space="preserve"> </w:t>
      </w:r>
      <w:hyperlink r:id="rId498">
        <w:r>
          <w:rPr>
            <w:rStyle w:val="Hyperlink"/>
          </w:rPr>
          <w:t xml:space="preserve">DOI</w:t>
        </w:r>
      </w:hyperlink>
    </w:p>
    <w:bookmarkStart w:id="499" w:name="abstract-5"/>
    <w:p>
      <w:pPr>
        <w:pStyle w:val="Heading2"/>
      </w:pPr>
      <w:r>
        <w:t xml:space="preserve">Abstract</w:t>
      </w:r>
    </w:p>
    <w:p>
      <w:pPr>
        <w:pStyle w:val="FirstParagraph"/>
      </w:pPr>
      <w:r>
        <w:rPr>
          <w:u w:val="single"/>
        </w:rPr>
        <w:t xml:space="preserve">Background</w:t>
      </w:r>
      <w:r>
        <w:t xml:space="preserve">: Arterial wall thickness and stiffness, and high blood pressure have been repeatedly associated with poorer brain health. However, previous studies largely focused on mid- or late-life stages. It is unknown whether any arterial health–related brain changes may be observable already in adolescence.</w:t>
      </w:r>
    </w:p>
    <w:p>
      <w:pPr>
        <w:pStyle w:val="BodyText"/>
      </w:pPr>
      <w:r>
        <w:rPr>
          <w:u w:val="single"/>
        </w:rPr>
        <w:t xml:space="preserve">Methods</w:t>
      </w:r>
      <w:r>
        <w:t xml:space="preserve">: We examined whether</w:t>
      </w:r>
      <w:r>
        <w:t xml:space="preserve"> </w:t>
      </w:r>
      <w:r>
        <w:rPr>
          <w:i/>
          <w:iCs/>
        </w:rPr>
        <w:t xml:space="preserve">(1)</w:t>
      </w:r>
      <w:r>
        <w:t xml:space="preserve"> </w:t>
      </w:r>
      <w:r>
        <w:t xml:space="preserve">carotid intima-media thickness,</w:t>
      </w:r>
      <w:r>
        <w:t xml:space="preserve"> </w:t>
      </w:r>
      <w:r>
        <w:rPr>
          <w:i/>
          <w:iCs/>
        </w:rPr>
        <w:t xml:space="preserve">(2)</w:t>
      </w:r>
      <w:r>
        <w:t xml:space="preserve"> </w:t>
      </w:r>
      <w:r>
        <w:t xml:space="preserve">carotid distensibility, and</w:t>
      </w:r>
      <w:r>
        <w:t xml:space="preserve"> </w:t>
      </w:r>
      <w:r>
        <w:rPr>
          <w:i/>
          <w:iCs/>
        </w:rPr>
        <w:t xml:space="preserve">(3)</w:t>
      </w:r>
      <w:r>
        <w:t xml:space="preserve"> </w:t>
      </w:r>
      <w:r>
        <w:t xml:space="preserve">systolic blood pressure and diastolic blood pressure, measured at the age of 10 years, were associated with brain volumes and white matter microstructure (i.e., fractional anisotropy and mean diffusivity) at the age of 14 years. In addition to cross-sectional analyses, we explored associations with longitudinal change in each brain outcome from 10 to 14 years. Analyses were based on 5341 children from the Generation R Study.</w:t>
      </w:r>
    </w:p>
    <w:p>
      <w:pPr>
        <w:pStyle w:val="BodyText"/>
      </w:pPr>
      <w:r>
        <w:rPr>
          <w:u w:val="single"/>
        </w:rPr>
        <w:t xml:space="preserve">Results</w:t>
      </w:r>
      <w:r>
        <w:t xml:space="preserve">: Higher diastolic blood pressure was associated with lower total brain volume (β [95% CI] = −0.04 [−0.07; −0.01]) and gray matter volume (β [95% CI] = −0.04 [−0.07; −0.01]) at the age of 14 years, with stronger associations in higher diastolic blood pressure ranges. Similar associations emerged between systolic blood pressure and brain volumes, but these were no longer significant after adjusting for birth weight. No associations were observed between blood pressure and white matter microstructure or between carotid intima-media thickness or distensibility and brain morphology.</w:t>
      </w:r>
    </w:p>
    <w:p>
      <w:pPr>
        <w:pStyle w:val="BodyText"/>
      </w:pPr>
      <w:r>
        <w:rPr>
          <w:u w:val="single"/>
        </w:rPr>
        <w:t xml:space="preserve">Conclusions</w:t>
      </w:r>
      <w:r>
        <w:t xml:space="preserve">: Arterial blood pressure, but not intima-media thickness and distensibility, is associated with structural neuroimaging markers in early adolescence. Volumetric measures may be more sensitive to these early arterial health differences compared to microstructural properties of the white matter, but further studies are needed to confirm these results and assess potential causal mechanisms.</w:t>
      </w:r>
    </w:p>
    <w:bookmarkEnd w:id="499"/>
    <w:bookmarkStart w:id="509" w:name="links-3"/>
    <w:p>
      <w:pPr>
        <w:pStyle w:val="Heading2"/>
      </w:pPr>
      <w:r>
        <w:t xml:space="preserve">Links</w:t>
      </w:r>
    </w:p>
    <w:p>
      <w:pPr>
        <w:pStyle w:val="FirstParagraph"/>
      </w:pPr>
      <w:r>
        <w:rPr>
          <w:b/>
          <w:bCs/>
        </w:rPr>
        <w:t xml:space="preserve">Supplementary materials</w:t>
      </w:r>
      <w:r>
        <w:t xml:space="preserve">: https://osf.io/2f4sg</w:t>
      </w:r>
      <w:r>
        <w:t xml:space="preserve"> </w:t>
      </w:r>
      <w:r>
        <w:drawing>
          <wp:inline>
            <wp:extent cx="1188720" cy="1188720"/>
            <wp:effectExtent b="0" l="0" r="0" t="0"/>
            <wp:docPr descr="" title="" id="501" name="Picture"/>
            <a:graphic>
              <a:graphicData uri="http://schemas.openxmlformats.org/drawingml/2006/picture">
                <pic:pic>
                  <pic:nvPicPr>
                    <pic:cNvPr descr="7.Chapter/../img/qrcode_supp7.png" id="502" name="Picture"/>
                    <pic:cNvPicPr>
                      <a:picLocks noChangeArrowheads="1" noChangeAspect="1"/>
                    </pic:cNvPicPr>
                  </pic:nvPicPr>
                  <pic:blipFill>
                    <a:blip r:embed="rId50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https://github.com/SereDef/arterial-health-brain</w:t>
      </w:r>
      <w:r>
        <w:t xml:space="preserve"> </w:t>
      </w:r>
      <w:r>
        <w:drawing>
          <wp:inline>
            <wp:extent cx="1188720" cy="1188720"/>
            <wp:effectExtent b="0" l="0" r="0" t="0"/>
            <wp:docPr descr="" title="" id="504" name="Picture"/>
            <a:graphic>
              <a:graphicData uri="http://schemas.openxmlformats.org/drawingml/2006/picture">
                <pic:pic>
                  <pic:nvPicPr>
                    <pic:cNvPr descr="7.Chapter/../img/qrcode_chap7_repo.png" id="505" name="Picture"/>
                    <pic:cNvPicPr>
                      <a:picLocks noChangeArrowheads="1" noChangeAspect="1"/>
                    </pic:cNvPicPr>
                  </pic:nvPicPr>
                  <pic:blipFill>
                    <a:blip r:embed="rId50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OSF Pre-registration</w:t>
      </w:r>
      <w:r>
        <w:t xml:space="preserve">: https://osf.io/ryc7e</w:t>
      </w:r>
      <w:r>
        <w:t xml:space="preserve"> </w:t>
      </w:r>
      <w:r>
        <w:drawing>
          <wp:inline>
            <wp:extent cx="1188720" cy="1188720"/>
            <wp:effectExtent b="0" l="0" r="0" t="0"/>
            <wp:docPr descr="" title="" id="507" name="Picture"/>
            <a:graphic>
              <a:graphicData uri="http://schemas.openxmlformats.org/drawingml/2006/picture">
                <pic:pic>
                  <pic:nvPicPr>
                    <pic:cNvPr descr="7.Chapter/../img/qrcode_els_repo.png" id="508" name="Picture"/>
                    <pic:cNvPicPr>
                      <a:picLocks noChangeArrowheads="1" noChangeAspect="1"/>
                    </pic:cNvPicPr>
                  </pic:nvPicPr>
                  <pic:blipFill>
                    <a:blip r:embed="rId506"/>
                    <a:stretch>
                      <a:fillRect/>
                    </a:stretch>
                  </pic:blipFill>
                  <pic:spPr bwMode="auto">
                    <a:xfrm>
                      <a:off x="0" y="0"/>
                      <a:ext cx="1188720" cy="1188720"/>
                    </a:xfrm>
                    <a:prstGeom prst="rect">
                      <a:avLst/>
                    </a:prstGeom>
                    <a:noFill/>
                    <a:ln w="9525">
                      <a:noFill/>
                      <a:headEnd/>
                      <a:tailEnd/>
                    </a:ln>
                  </pic:spPr>
                </pic:pic>
              </a:graphicData>
            </a:graphic>
          </wp:inline>
        </w:drawing>
      </w:r>
    </w:p>
    <w:bookmarkEnd w:id="509"/>
    <w:bookmarkStart w:id="510" w:name="keywords-3"/>
    <w:p>
      <w:pPr>
        <w:pStyle w:val="Heading2"/>
      </w:pPr>
      <w:r>
        <w:t xml:space="preserve">Keywords</w:t>
      </w:r>
    </w:p>
    <w:p>
      <w:pPr>
        <w:pStyle w:val="FirstParagraph"/>
      </w:pPr>
      <w:r>
        <w:t xml:space="preserve">Blood pressure; Carotid intima-media thickness; Carotid distensibility; Neuro-imaging; Adolescence.</w:t>
      </w:r>
    </w:p>
    <w:bookmarkEnd w:id="510"/>
    <w:bookmarkStart w:id="511" w:name="abbreviations-3"/>
    <w:p>
      <w:pPr>
        <w:pStyle w:val="Heading2"/>
      </w:pPr>
      <w:r>
        <w:t xml:space="preserve">Abbreviations</w:t>
      </w:r>
    </w:p>
    <w:p>
      <w:pPr>
        <w:pStyle w:val="FirstParagraph"/>
      </w:pPr>
      <w:r>
        <w:t xml:space="preserve">Body Mass Index (BMI), Carotid intima–media thickness (cIMT), Coronary Artery Risk Development in Young Adults (CARDIA), Diffusion tensor imaging (DTI), False discovery rate (FDR), Fractional anisotropy (FA), Framingham Third-Generation Cohort Study (FHS-G3), Grey matter volume (GMV), Magnetic Resonance Images (MRI), Mean diffusivity (MD), Systolic / diastolic blood pressure (SBP / DBP), Total brain volume (TBV).</w:t>
      </w:r>
    </w:p>
    <w:bookmarkEnd w:id="511"/>
    <w:bookmarkStart w:id="513" w:name="introduction-5"/>
    <w:p>
      <w:pPr>
        <w:pStyle w:val="Heading2"/>
      </w:pPr>
      <w:r>
        <w:t xml:space="preserve">7.1 Introduction</w:t>
      </w:r>
    </w:p>
    <w:p>
      <w:pPr>
        <w:pStyle w:val="FirstParagraph"/>
      </w:pPr>
      <w:r>
        <w:t xml:space="preserve">While cardiovascular disease remains the leading cause of death worldwide, the global burden of brain disease is rapidly increasing and is often associated with the same risk factors, as highlighted by the latest statistical update from the American Heart Association</w:t>
      </w:r>
      <w:r>
        <w:t xml:space="preserve"> </w:t>
      </w:r>
      <w:r>
        <w:t xml:space="preserve">(Tsao et al., 2022)</w:t>
      </w:r>
      <w:r>
        <w:t xml:space="preserve">. Indeed, known cardiovascular risk factors such as hypertension</w:t>
      </w:r>
      <w:r>
        <w:t xml:space="preserve"> </w:t>
      </w:r>
      <w:r>
        <w:t xml:space="preserve">(Alateeq et al., 2022; Beauchet et al., 2013)</w:t>
      </w:r>
      <w:r>
        <w:t xml:space="preserve">, arterial stiffness</w:t>
      </w:r>
      <w:r>
        <w:t xml:space="preserve"> </w:t>
      </w:r>
      <w:r>
        <w:t xml:space="preserve">(Badji et al., 2019; Baradaran &amp; Gupta, 2020)</w:t>
      </w:r>
      <w:r>
        <w:t xml:space="preserve"> </w:t>
      </w:r>
      <w:r>
        <w:t xml:space="preserve">and atherosclerosis</w:t>
      </w:r>
      <w:r>
        <w:t xml:space="preserve"> </w:t>
      </w:r>
      <w:r>
        <w:t xml:space="preserve">(Baradaran &amp; Gupta, 2020; W. Wang et al., 2022)</w:t>
      </w:r>
      <w:r>
        <w:t xml:space="preserve">, have been consistently associated with the pathogenesis of cerebrovascular disease (e.g., stroke and white matter lesions) and cognitive decline in the elderly.</w:t>
      </w:r>
    </w:p>
    <w:p>
      <w:pPr>
        <w:pStyle w:val="BodyText"/>
      </w:pPr>
      <w:r>
        <w:t xml:space="preserve">Accumulating evidence further suggests that more subtle vascular health–related brain changes may occur in younger adults, far before evident injury events, and even when the overall vascular burden is low. For example, the Framingham Third-Generation Cohort Study (FHS-G3) investigators reported cross-sectional associations of arterial stiffness with lower grey-matter density and white-matter microstructural integrity, assessed with diffusion tensor imaging (DTI), in the fifth decade of life</w:t>
      </w:r>
      <w:r>
        <w:t xml:space="preserve"> </w:t>
      </w:r>
      <w:r>
        <w:t xml:space="preserve">(Maillard et al., 2016, 2017)</w:t>
      </w:r>
      <w:r>
        <w:t xml:space="preserve">. Higher arterial stiffness was also associated with poorer processing speed and executive function, and with larger lateral ventricular volumes in younger adults (30-45 years) from the FHS-G3</w:t>
      </w:r>
      <w:r>
        <w:t xml:space="preserve"> </w:t>
      </w:r>
      <w:r>
        <w:t xml:space="preserve">(Pase et al., 2016)</w:t>
      </w:r>
      <w:r>
        <w:t xml:space="preserve">. Moreover, in a group of 45-year-old adults from the Coronary Artery Risk Development in Young Adults (CARDIA) Study, higher carotid intima–media thickness (cIMT), a subclinical marker of atherosclerosis, was associated with reduced cerebral blood flow and with poorer cognitive function five years later</w:t>
      </w:r>
      <w:r>
        <w:t xml:space="preserve"> </w:t>
      </w:r>
      <w:r>
        <w:t xml:space="preserve">(Al Hazzouri et al., 2015; Cermakova et al., 2020)</w:t>
      </w:r>
      <w:r>
        <w:t xml:space="preserve">. In the same cohort, midlife hypertension</w:t>
      </w:r>
      <w:r>
        <w:t xml:space="preserve"> </w:t>
      </w:r>
      <w:r>
        <w:t xml:space="preserve">(Launer et al., 2015)</w:t>
      </w:r>
      <w:r>
        <w:t xml:space="preserve"> </w:t>
      </w:r>
      <w:r>
        <w:t xml:space="preserve">and increasing blood pressure trajectories from young adulthood to middle age</w:t>
      </w:r>
      <w:r>
        <w:t xml:space="preserve"> </w:t>
      </w:r>
      <w:r>
        <w:t xml:space="preserve">(Hu et al., 2022)</w:t>
      </w:r>
      <w:r>
        <w:t xml:space="preserve"> </w:t>
      </w:r>
      <w:r>
        <w:t xml:space="preserve">were associated with lower cerebral perfusion and volumetric markers of poor white- and grey- matter health at age 50. Blood pressure was also linearly associated with reduced grey-matter volumes and white matter microstructural integrity at age 40 in the FHS-G3 sample</w:t>
      </w:r>
      <w:r>
        <w:t xml:space="preserve"> </w:t>
      </w:r>
      <w:r>
        <w:t xml:space="preserve">(Maillard et al., 2012)</w:t>
      </w:r>
      <w:r>
        <w:t xml:space="preserve"> </w:t>
      </w:r>
      <w:r>
        <w:t xml:space="preserve">and with grey matter and white matter lesion volume before the age of 45 in the UK Biobank</w:t>
      </w:r>
      <w:r>
        <w:t xml:space="preserve"> </w:t>
      </w:r>
      <w:r>
        <w:t xml:space="preserve">(Alateeq et al., 2022)</w:t>
      </w:r>
      <w:r>
        <w:t xml:space="preserve">.</w:t>
      </w:r>
    </w:p>
    <w:p>
      <w:pPr>
        <w:pStyle w:val="BodyText"/>
      </w:pPr>
      <w:r>
        <w:t xml:space="preserve">Although analogous neuroimaging studies in children are lacking, there is evidence linking elevated blood pressure with cognitive performance already in childhood</w:t>
      </w:r>
      <w:r>
        <w:t xml:space="preserve"> </w:t>
      </w:r>
      <w:r>
        <w:t xml:space="preserve">(Lamballais et al., 2018; Lande &amp; Kupferman, 2019)</w:t>
      </w:r>
      <w:r>
        <w:t xml:space="preserve">. Further, related cardiovascular risk factors, such as adiposity</w:t>
      </w:r>
      <w:r>
        <w:t xml:space="preserve"> </w:t>
      </w:r>
      <w:r>
        <w:t xml:space="preserve">(Silva et al., 2021; Steegers et al., 2021)</w:t>
      </w:r>
      <w:r>
        <w:t xml:space="preserve"> </w:t>
      </w:r>
      <w:r>
        <w:t xml:space="preserve">and diabetes</w:t>
      </w:r>
      <w:r>
        <w:t xml:space="preserve"> </w:t>
      </w:r>
      <w:r>
        <w:t xml:space="preserve">(Redel et al., 2022)</w:t>
      </w:r>
      <w:r>
        <w:t xml:space="preserve"> </w:t>
      </w:r>
      <w:r>
        <w:t xml:space="preserve">have been shown to associate with brain structural changes in children and adolescents. However, thus far very little attention has been paid to the potential impact of vascular health on the brain during development, despite evidence that arterial stiffening and thickening, and blood pressure dysregulation begin very early in life</w:t>
      </w:r>
      <w:r>
        <w:t xml:space="preserve"> </w:t>
      </w:r>
      <w:r>
        <w:t xml:space="preserve">(Kruger et al., 2021; Rosner et al., 2013; Song et al., 2020)</w:t>
      </w:r>
      <w:r>
        <w:t xml:space="preserve">. From a clinical standpoint, characterizing these associations is a fundamental step in the development of early intervention strategies that may prevent abnormal brain development before irreversible structural damage occurs.</w:t>
      </w:r>
    </w:p>
    <w:p>
      <w:pPr>
        <w:pStyle w:val="BodyText"/>
      </w:pPr>
      <w:r>
        <w:t xml:space="preserve">Using data from the Generation R Study, a large population-based birth cohort, we investigated how arterial thickness and distensibility, as well as systolic / diastolic blood pressure (SBP / DBP), measured at age 10 associate with brain morphology and microstructure extracted from MRI scans at age 10 and 14 years.</w:t>
      </w:r>
    </w:p>
    <w:p>
      <w:pPr>
        <w:pStyle w:val="BodyText"/>
      </w:pPr>
      <w:r>
        <w:t xml:space="preserve">This study was</w:t>
      </w:r>
      <w:r>
        <w:t xml:space="preserve"> </w:t>
      </w:r>
      <w:hyperlink r:id="rId512">
        <w:r>
          <w:rPr>
            <w:rStyle w:val="Hyperlink"/>
          </w:rPr>
          <w:t xml:space="preserve">pre-registered</w:t>
        </w:r>
      </w:hyperlink>
      <w:r>
        <w:t xml:space="preserve">. Briefly, we hypothesized that: 1) higher cIMT, 2) lower distensibility and 3) higher SBP / DBP would associate with</w:t>
      </w:r>
      <w:r>
        <w:t xml:space="preserve"> </w:t>
      </w:r>
      <w:r>
        <w:rPr>
          <w:i/>
          <w:iCs/>
        </w:rPr>
        <w:t xml:space="preserve">a)</w:t>
      </w:r>
      <w:r>
        <w:t xml:space="preserve"> </w:t>
      </w:r>
      <w:r>
        <w:t xml:space="preserve">lower total brain volume,</w:t>
      </w:r>
      <w:r>
        <w:t xml:space="preserve"> </w:t>
      </w:r>
      <w:r>
        <w:rPr>
          <w:i/>
          <w:iCs/>
        </w:rPr>
        <w:t xml:space="preserve">b)</w:t>
      </w:r>
      <w:r>
        <w:t xml:space="preserve"> </w:t>
      </w:r>
      <w:r>
        <w:t xml:space="preserve">lower grey-matter volume,</w:t>
      </w:r>
      <w:r>
        <w:t xml:space="preserve"> </w:t>
      </w:r>
      <w:r>
        <w:rPr>
          <w:i/>
          <w:iCs/>
        </w:rPr>
        <w:t xml:space="preserve">c)</w:t>
      </w:r>
      <w:r>
        <w:t xml:space="preserve"> </w:t>
      </w:r>
      <w:r>
        <w:t xml:space="preserve">lower global fractional anisotropy and/or</w:t>
      </w:r>
      <w:r>
        <w:t xml:space="preserve"> </w:t>
      </w:r>
      <w:r>
        <w:rPr>
          <w:i/>
          <w:iCs/>
        </w:rPr>
        <w:t xml:space="preserve">d)</w:t>
      </w:r>
      <w:r>
        <w:t xml:space="preserve"> </w:t>
      </w:r>
      <w:r>
        <w:t xml:space="preserve">higher mean diffusivity.</w:t>
      </w:r>
    </w:p>
    <w:bookmarkEnd w:id="513"/>
    <w:bookmarkStart w:id="522" w:name="methods-5"/>
    <w:p>
      <w:pPr>
        <w:pStyle w:val="Heading2"/>
      </w:pPr>
      <w:r>
        <w:t xml:space="preserve">7.2 Methods</w:t>
      </w:r>
    </w:p>
    <w:p>
      <w:pPr>
        <w:pStyle w:val="FirstParagraph"/>
      </w:pPr>
      <w:r>
        <w:t xml:space="preserve">The data that support the findings of this study are available from the corresponding author upon reasonable request.</w:t>
      </w:r>
    </w:p>
    <w:bookmarkStart w:id="515" w:name="study-population"/>
    <w:p>
      <w:pPr>
        <w:pStyle w:val="Heading3"/>
      </w:pPr>
      <w:r>
        <w:t xml:space="preserve">Study population</w:t>
      </w:r>
    </w:p>
    <w:p>
      <w:pPr>
        <w:pStyle w:val="FirstParagraph"/>
      </w:pPr>
      <w:r>
        <w:t xml:space="preserve">The study uses data from the Generation R Study, an ongoing population-based prospective cohort study based in the city of Rotterdam, the Netherlands. A detailed cohort description is provided elsewhere</w:t>
      </w:r>
      <w:r>
        <w:t xml:space="preserve"> </w:t>
      </w:r>
      <w:r>
        <w:t xml:space="preserve">(Kooijman et al., 2016)</w:t>
      </w:r>
      <w:r>
        <w:t xml:space="preserve">. In summary, the cohort included 9749 children born between April 2002 and January 2006. The analytical sample consisted of 5341 singletons who participated in the baseline (i.e., 10-year) visit and had no siblings in the sample (see</w:t>
      </w:r>
      <w:r>
        <w:t xml:space="preserve"> </w:t>
      </w:r>
      <w:hyperlink r:id="rId514">
        <w:r>
          <w:rPr>
            <w:rStyle w:val="Hyperlink"/>
          </w:rPr>
          <w:t xml:space="preserve">Figure S1</w:t>
        </w:r>
      </w:hyperlink>
      <w:r>
        <w:t xml:space="preserve">). Of these children, 2054 had complete structural MRI data and 2308 had complete DTI data. Missing values in all variables of interest were imputed by random-forest multiple imputation.</w:t>
      </w:r>
      <w:r>
        <w:t xml:space="preserve"> </w:t>
      </w:r>
      <w:r>
        <w:t xml:space="preserve">Ethical standards. The study conforms with the World Medical Association Declaration of Helsinki</w:t>
      </w:r>
      <w:r>
        <w:t xml:space="preserve"> </w:t>
      </w:r>
      <w:r>
        <w:t xml:space="preserve">(2013)</w:t>
      </w:r>
      <w:r>
        <w:t xml:space="preserve">. Written informed consent was obtained from parents. The medical ethical committee of Erasmus MC, University Medical Center Rotterdam approved the study.</w:t>
      </w:r>
    </w:p>
    <w:bookmarkEnd w:id="515"/>
    <w:bookmarkStart w:id="516" w:name="arterial-health"/>
    <w:p>
      <w:pPr>
        <w:pStyle w:val="Heading3"/>
      </w:pPr>
      <w:r>
        <w:t xml:space="preserve">Arterial health</w:t>
      </w:r>
    </w:p>
    <w:p>
      <w:pPr>
        <w:pStyle w:val="FirstParagraph"/>
      </w:pPr>
      <w:r>
        <w:t xml:space="preserve">At the age of 10 years, carotid artery ultrasound was performed using the Logiq E9 device (GE Medical Systems, Wauwatosa, Wisconsin) while blood pressure was simultaneously assessed at the right brachial artery. Children were in supine position, with their head tilted slightly away from the transducer. The common carotid artery was identified in a longitudinal plane, ~10 mm proximal from the carotid bifurcation. Each common carotid artery was measured three times, resulting in six recordings that ideally included multiple heart cycles.</w:t>
      </w:r>
    </w:p>
    <w:p>
      <w:pPr>
        <w:pStyle w:val="BodyText"/>
      </w:pPr>
      <w:r>
        <w:rPr>
          <w:b/>
          <w:bCs/>
          <w:i/>
          <w:iCs/>
        </w:rPr>
        <w:t xml:space="preserve">Carotid intima–media thickness.</w:t>
      </w:r>
      <w:r>
        <w:t xml:space="preserve"> </w:t>
      </w:r>
      <w:r>
        <w:t xml:space="preserve">For each ultrasound recording, and at all R waves of the simultaneous electrocardiogram, cIMT was computed at the far wall as the average distance between lumen-intima and media-adventitia borders. Average cIMT of all frames of the acquired image sequence was then computed. Analyses were performed offline and semiautomatically, using the application Carotid Studio (Cardiovascular Suite; Quipu srl, Pisa, Italy). Overall mean cIMT (millimeters) was standardized using a z-transformation - i.e., (value – sample mean) / sample SD.</w:t>
      </w:r>
    </w:p>
    <w:p>
      <w:pPr>
        <w:pStyle w:val="BodyText"/>
      </w:pPr>
      <w:r>
        <w:rPr>
          <w:b/>
          <w:bCs/>
          <w:i/>
          <w:iCs/>
        </w:rPr>
        <w:t xml:space="preserve">Carotid distensibility.</w:t>
      </w:r>
      <w:r>
        <w:t xml:space="preserve"> </w:t>
      </w:r>
      <w:r>
        <w:t xml:space="preserve">The c coefficient, i.e., the relative change in lumen area during systole for a given peripheral pressure change was calculated as the difference between the maximal (diastolic) and minimal (systolic) lumen diameter of the carotid artery. Lumen diameter was computed as the average distance between the far and near media-adventitia interfaces for each frame of the acquired image sequence. Per recording, average distension and diameter values were used to compute the average carotid distensibility. Overall mean carotid distensibility (kPa</w:t>
      </w:r>
      <w:r>
        <w:rPr>
          <w:vertAlign w:val="superscript"/>
        </w:rPr>
        <w:t xml:space="preserve">−1</w:t>
      </w:r>
      <w:r>
        <w:t xml:space="preserve"> </w:t>
      </w:r>
      <w:r>
        <w:t xml:space="preserve">× 10</w:t>
      </w:r>
      <w:r>
        <w:rPr>
          <w:vertAlign w:val="superscript"/>
        </w:rPr>
        <w:t xml:space="preserve">−3</w:t>
      </w:r>
      <w:r>
        <w:t xml:space="preserve">) was standardized using a z-transformation.</w:t>
      </w:r>
    </w:p>
    <w:p>
      <w:pPr>
        <w:pStyle w:val="BodyText"/>
      </w:pPr>
      <w:r>
        <w:rPr>
          <w:b/>
          <w:bCs/>
          <w:i/>
          <w:iCs/>
        </w:rPr>
        <w:t xml:space="preserve">Blood pressure.</w:t>
      </w:r>
      <w:r>
        <w:t xml:space="preserve"> </w:t>
      </w:r>
      <w:r>
        <w:t xml:space="preserve">SBP and DBP were measured at the right brachial artery, four times with 1-min intervals, using the validated automatic sphygmomanometer Datascope Accutorr PlusTM (Paramus, New Jersey, USA). SBP and DBP (mm Hg) were determined by excluding the first measurement and averaging the other measurements, and were standardized using a z-transformation.</w:t>
      </w:r>
    </w:p>
    <w:bookmarkEnd w:id="516"/>
    <w:bookmarkStart w:id="518" w:name="brain-imaging"/>
    <w:p>
      <w:pPr>
        <w:pStyle w:val="Heading3"/>
      </w:pPr>
      <w:r>
        <w:t xml:space="preserve">Brain imaging</w:t>
      </w:r>
    </w:p>
    <w:p>
      <w:pPr>
        <w:pStyle w:val="FirstParagraph"/>
      </w:pPr>
      <w:r>
        <w:t xml:space="preserve">At the ages of 10 and 14 years, participants visited the Generation R research center at Erasmus MC – Sophia Children’s Hospital, where brain Magnetic Resonance Images (MRI) were acquired using a single, dedicated 3-Tesla scanner (General Electric MR750w, Milwaukee, WI, USA) with an eight-channel head coil. To minimize head motion, participants were familiarized with the scanner environment using a mock scanner.</w:t>
      </w:r>
    </w:p>
    <w:p>
      <w:pPr>
        <w:pStyle w:val="BodyText"/>
      </w:pPr>
      <w:r>
        <w:rPr>
          <w:b/>
          <w:bCs/>
          <w:i/>
          <w:iCs/>
        </w:rPr>
        <w:t xml:space="preserve">Brain volume.</w:t>
      </w:r>
      <w:r>
        <w:t xml:space="preserve"> </w:t>
      </w:r>
      <w:r>
        <w:t xml:space="preserve">High resolution T1-weighted images were obtained with an inversion recovery fast-spoiled gradient recalled sequence (parameters: TR = 8.77 ms, TE = 3.4 ms, TI = 600 ms, flip angle = 10°, FOV = 220×220mm, acquisition matrix = 220×220, slice thickness = 1mm, number of slices = 230, voxel size = 1×1×1mm, ARC Acceleration = 2). Images were processed using FreeSurfer 6.0</w:t>
      </w:r>
      <w:r>
        <w:t xml:space="preserve"> </w:t>
      </w:r>
      <w:r>
        <w:t xml:space="preserve">(Fischl, 2012)</w:t>
      </w:r>
      <w:r>
        <w:t xml:space="preserve">. The technical details of these procedures are described elsewhere</w:t>
      </w:r>
      <w:r>
        <w:t xml:space="preserve"> </w:t>
      </w:r>
      <w:r>
        <w:t xml:space="preserve">(Muetzel et al., 2019)</w:t>
      </w:r>
      <w:r>
        <w:t xml:space="preserve">. In brief, this included removal of the non-brain tissue, segmentation of white and grey matter structures, tessellation of the grey-white matter boundary, topology correction and surface deformation to identify the cortical grey-white matter and the grey-cerebrospinal fluid boundary. Reconstructions were visually inspected and those with insufficient quality were further excluded</w:t>
      </w:r>
      <w:r>
        <w:t xml:space="preserve"> </w:t>
      </w:r>
      <w:r>
        <w:t xml:space="preserve">(Muetzel et al., 2019)</w:t>
      </w:r>
      <w:r>
        <w:t xml:space="preserve">.</w:t>
      </w:r>
    </w:p>
    <w:p>
      <w:pPr>
        <w:pStyle w:val="BodyText"/>
      </w:pPr>
      <w:r>
        <w:t xml:space="preserve">Global metrics of volume, i.e., total brain (TBV) and total grey matter volume (GMV), as well as specific subcortical structures’ volumes were extracted. Brain metrics were be standardized using a z-transformation.</w:t>
      </w:r>
    </w:p>
    <w:p>
      <w:pPr>
        <w:pStyle w:val="BodyText"/>
      </w:pPr>
      <w:r>
        <w:rPr>
          <w:b/>
          <w:bCs/>
          <w:i/>
          <w:iCs/>
        </w:rPr>
        <w:t xml:space="preserve">White matter microstructure.</w:t>
      </w:r>
      <w:r>
        <w:t xml:space="preserve"> </w:t>
      </w:r>
      <w:r>
        <w:t xml:space="preserve">DTI data were obtained using an echo-planar sequence with three b = 0 scans and 35 diffusion-weighted images (b = 1000 s/mm</w:t>
      </w:r>
      <w:r>
        <w:rPr>
          <w:vertAlign w:val="superscript"/>
        </w:rPr>
        <w:t xml:space="preserve">2</w:t>
      </w:r>
      <w:r>
        <w:t xml:space="preserve">). The following parameters were used: TR = 12.5 ms, TE = 72.8 ms, FOV = 240×240 mm, acquisition matrix = 120×120, slice thickness = 2 mm, number of slices = 65. Images were pre-processed using</w:t>
      </w:r>
      <w:r>
        <w:t xml:space="preserve"> </w:t>
      </w:r>
      <w:hyperlink r:id="rId517">
        <w:r>
          <w:rPr>
            <w:rStyle w:val="Hyperlink"/>
          </w:rPr>
          <w:t xml:space="preserve">FSL 6.0.1</w:t>
        </w:r>
      </w:hyperlink>
      <w:r>
        <w:t xml:space="preserve">. Briefly, non-brain tissue was removed, images were corrected for eddy current-induced distortions and minor head motion using</w:t>
      </w:r>
      <w:r>
        <w:t xml:space="preserve"> </w:t>
      </w:r>
      <w:r>
        <w:t xml:space="preserve">‘eddy’</w:t>
      </w:r>
      <w:r>
        <w:t xml:space="preserve">, and the diffusion gradient table was rotated accordingly. A diffusion tensor was fit at each voxel using a weighted least squares method, and common scalar metrics including global fractional anisotropy (FA) and mean diffusivity (MD) were computed. FA describes the degree to which water diffuses preferentially along one direction (e.g., along a bundle of myelinated axons) and is sensitive to microstructural changes. MD describes the average diffusion in all directions. White matter tracts, were also delineated using fully-automated probabilistic fiber tractography as implemented in FSL AutoPtx</w:t>
      </w:r>
      <w:r>
        <w:t xml:space="preserve"> </w:t>
      </w:r>
      <w:r>
        <w:t xml:space="preserve">(De Groot et al., 2013)</w:t>
      </w:r>
      <w:r>
        <w:t xml:space="preserve">. Average FA and MD were calculated for each tract. Global and tract-specific FA and MD values were standardized using a z-transformation. Image quality was assessed by manual and automated inspection</w:t>
      </w:r>
      <w:r>
        <w:t xml:space="preserve"> </w:t>
      </w:r>
      <w:r>
        <w:t xml:space="preserve">(Muetzel et al., 2018)</w:t>
      </w:r>
      <w:r>
        <w:t xml:space="preserve">.</w:t>
      </w:r>
    </w:p>
    <w:bookmarkEnd w:id="518"/>
    <w:bookmarkStart w:id="519" w:name="covariates-1"/>
    <w:p>
      <w:pPr>
        <w:pStyle w:val="Heading3"/>
      </w:pPr>
      <w:r>
        <w:t xml:space="preserve">Covariates</w:t>
      </w:r>
    </w:p>
    <w:p>
      <w:pPr>
        <w:pStyle w:val="FirstParagraph"/>
      </w:pPr>
      <w:r>
        <w:t xml:space="preserve">Information on the maternal age and child ethnic background (based on parental country of origin and dichotomized into European vs. non-European) was collected by questionnaire at enrollment. Date of birth and child sex, weight and gestational age were recorded at birth. Both caregivers reported on their highest completed educational level when children were 6 years old, and these reports were combined into a single</w:t>
      </w:r>
      <w:r>
        <w:t xml:space="preserve"> </w:t>
      </w:r>
      <w:r>
        <w:t xml:space="preserve">“parental education”</w:t>
      </w:r>
      <w:r>
        <w:t xml:space="preserve"> </w:t>
      </w:r>
      <w:r>
        <w:t xml:space="preserve">score. Child height (in m) and weight (in kg) were measured during the 10-years visit, and used to compute body mass index (BMI) z-scores.</w:t>
      </w:r>
    </w:p>
    <w:bookmarkEnd w:id="519"/>
    <w:bookmarkStart w:id="521" w:name="statistical-analysis-2"/>
    <w:p>
      <w:pPr>
        <w:pStyle w:val="Heading3"/>
      </w:pPr>
      <w:r>
        <w:t xml:space="preserve">Statistical analysis</w:t>
      </w:r>
    </w:p>
    <w:p>
      <w:pPr>
        <w:pStyle w:val="FirstParagraph"/>
      </w:pPr>
      <w:r>
        <w:t xml:space="preserve">Analyses were conducted using R version 4.2.0(R Core Team, 2021). All scripts are</w:t>
      </w:r>
      <w:r>
        <w:t xml:space="preserve"> </w:t>
      </w:r>
      <w:hyperlink r:id="rId520">
        <w:r>
          <w:rPr>
            <w:rStyle w:val="Hyperlink"/>
          </w:rPr>
          <w:t xml:space="preserve">publicly available</w:t>
        </w:r>
      </w:hyperlink>
      <w:r>
        <w:t xml:space="preserve">.</w:t>
      </w:r>
    </w:p>
    <w:p>
      <w:pPr>
        <w:pStyle w:val="BodyText"/>
      </w:pPr>
      <w:r>
        <w:rPr>
          <w:b/>
          <w:bCs/>
          <w:i/>
          <w:iCs/>
        </w:rPr>
        <w:t xml:space="preserve">Imputation.</w:t>
      </w:r>
      <w:r>
        <w:t xml:space="preserve"> </w:t>
      </w:r>
      <w:r>
        <w:t xml:space="preserve">Missing data in all exposures, outcomes and covariates were imputed by random-forest multiple imputation</w:t>
      </w:r>
      <w:r>
        <w:t xml:space="preserve"> </w:t>
      </w:r>
      <w:r>
        <w:t xml:space="preserve">(Shah et al., 2014)</w:t>
      </w:r>
      <w:r>
        <w:t xml:space="preserve">, using 20 imputed datasets, 10 trees and 40 iterations, as implemented by the mice R package</w:t>
      </w:r>
      <w:r>
        <w:t xml:space="preserve"> </w:t>
      </w:r>
      <w:r>
        <w:t xml:space="preserve">(Buuren &amp; Groothuis-Oudshoorn, 2011)</w:t>
      </w:r>
      <w:r>
        <w:t xml:space="preserve">. Details of the imputation model and quality are provided in Supplementary materials (</w:t>
      </w:r>
      <w:hyperlink r:id="rId514">
        <w:r>
          <w:rPr>
            <w:rStyle w:val="Hyperlink"/>
          </w:rPr>
          <w:t xml:space="preserve">Methods S1</w:t>
        </w:r>
      </w:hyperlink>
      <w:r>
        <w:t xml:space="preserve"> </w:t>
      </w:r>
      <w:r>
        <w:t xml:space="preserve">and</w:t>
      </w:r>
      <w:r>
        <w:t xml:space="preserve"> </w:t>
      </w:r>
      <w:hyperlink r:id="rId514">
        <w:r>
          <w:rPr>
            <w:rStyle w:val="Hyperlink"/>
          </w:rPr>
          <w:t xml:space="preserve">Table S1</w:t>
        </w:r>
      </w:hyperlink>
      <w:r>
        <w:t xml:space="preserve">).</w:t>
      </w:r>
    </w:p>
    <w:p>
      <w:pPr>
        <w:pStyle w:val="BodyText"/>
      </w:pPr>
      <w:r>
        <w:rPr>
          <w:b/>
          <w:bCs/>
          <w:i/>
          <w:iCs/>
        </w:rPr>
        <w:t xml:space="preserve">Main analyses.</w:t>
      </w:r>
      <w:r>
        <w:t xml:space="preserve"> </w:t>
      </w:r>
      <w:r>
        <w:t xml:space="preserve">All models were fit in each imputed dataset, and pooled across imputations using Rubin’s rules</w:t>
      </w:r>
      <w:r>
        <w:t xml:space="preserve"> </w:t>
      </w:r>
      <w:r>
        <w:t xml:space="preserve">(Rubin, 1987)</w:t>
      </w:r>
      <w:r>
        <w:t xml:space="preserve">. For each exposure of interest (i.e., carotid IMT and distensibility, SBP and DBP), four multiple linear regressions were performed including</w:t>
      </w:r>
      <w:r>
        <w:t xml:space="preserve"> </w:t>
      </w:r>
      <w:r>
        <w:rPr>
          <w:i/>
          <w:iCs/>
        </w:rPr>
        <w:t xml:space="preserve">a)</w:t>
      </w:r>
      <w:r>
        <w:t xml:space="preserve"> </w:t>
      </w:r>
      <w:r>
        <w:t xml:space="preserve">TBV,</w:t>
      </w:r>
      <w:r>
        <w:t xml:space="preserve"> </w:t>
      </w:r>
      <w:r>
        <w:rPr>
          <w:i/>
          <w:iCs/>
        </w:rPr>
        <w:t xml:space="preserve">b)</w:t>
      </w:r>
      <w:r>
        <w:t xml:space="preserve"> </w:t>
      </w:r>
      <w:r>
        <w:t xml:space="preserve">GMV,</w:t>
      </w:r>
      <w:r>
        <w:t xml:space="preserve"> </w:t>
      </w:r>
      <w:r>
        <w:rPr>
          <w:i/>
          <w:iCs/>
        </w:rPr>
        <w:t xml:space="preserve">c)</w:t>
      </w:r>
      <w:r>
        <w:t xml:space="preserve"> </w:t>
      </w:r>
      <w:r>
        <w:t xml:space="preserve">global FA and</w:t>
      </w:r>
      <w:r>
        <w:t xml:space="preserve"> </w:t>
      </w:r>
      <w:r>
        <w:rPr>
          <w:i/>
          <w:iCs/>
        </w:rPr>
        <w:t xml:space="preserve">d)</w:t>
      </w:r>
      <w:r>
        <w:t xml:space="preserve"> </w:t>
      </w:r>
      <w:r>
        <w:t xml:space="preserve">global MD, measured at age 14, as dependent variable. We ran a</w:t>
      </w:r>
      <w:r>
        <w:t xml:space="preserve"> </w:t>
      </w:r>
      <w:r>
        <w:t xml:space="preserve">“base model”</w:t>
      </w:r>
      <w:r>
        <w:t xml:space="preserve"> </w:t>
      </w:r>
      <w:r>
        <w:t xml:space="preserve">adjusting for child sex, height, age at MRI assessment and age gap between clinical and MRI assessments, and a</w:t>
      </w:r>
      <w:r>
        <w:t xml:space="preserve"> </w:t>
      </w:r>
      <w:r>
        <w:t xml:space="preserve">“confounder model”</w:t>
      </w:r>
      <w:r>
        <w:t xml:space="preserve">, which additionally included child ethnicity, BMI z-score, parental education and maternal age. Covariates were identified based on the graphical criteria for confounding (</w:t>
      </w:r>
      <w:hyperlink r:id="rId514">
        <w:r>
          <w:rPr>
            <w:rStyle w:val="Hyperlink"/>
          </w:rPr>
          <w:t xml:space="preserve">Figure S2</w:t>
        </w:r>
      </w:hyperlink>
      <w:r>
        <w:t xml:space="preserve">).</w:t>
      </w:r>
    </w:p>
    <w:p>
      <w:pPr>
        <w:pStyle w:val="BodyText"/>
      </w:pPr>
      <w:r>
        <w:t xml:space="preserve">To minimize false positive findings due to multiple testing (k=16), false discovery rate (FDR) correction</w:t>
      </w:r>
      <w:r>
        <w:t xml:space="preserve"> </w:t>
      </w:r>
      <w:r>
        <w:t xml:space="preserve">(Benjamini &amp; Yekutieli, 2001)</w:t>
      </w:r>
      <w:r>
        <w:t xml:space="preserve"> </w:t>
      </w:r>
      <w:r>
        <w:t xml:space="preserve">was applied to all p-values.</w:t>
      </w:r>
    </w:p>
    <w:p>
      <w:pPr>
        <w:pStyle w:val="BodyText"/>
      </w:pPr>
      <w:r>
        <w:t xml:space="preserve">Non-linear terms for each arterial health exposure (i.e., natural splines) were retained in the model when they significantly improved its fit (see</w:t>
      </w:r>
      <w:r>
        <w:t xml:space="preserve"> </w:t>
      </w:r>
      <w:hyperlink r:id="rId514">
        <w:r>
          <w:rPr>
            <w:rStyle w:val="Hyperlink"/>
          </w:rPr>
          <w:t xml:space="preserve">Methods S2</w:t>
        </w:r>
      </w:hyperlink>
      <w:r>
        <w:t xml:space="preserve">).</w:t>
      </w:r>
    </w:p>
    <w:p>
      <w:pPr>
        <w:pStyle w:val="BodyText"/>
      </w:pPr>
      <w:r>
        <w:rPr>
          <w:b/>
          <w:bCs/>
          <w:i/>
          <w:iCs/>
        </w:rPr>
        <w:t xml:space="preserve">Exploratory follow-up analyses.</w:t>
      </w:r>
      <w:r>
        <w:t xml:space="preserve"> </w:t>
      </w:r>
      <w:r>
        <w:t xml:space="preserve">We further assessed associations between each exposure and the longitudinal change in each neuroimaging marker from age 10 to 14 years, using linear mixed-effects models with a random intercept per subject (see</w:t>
      </w:r>
      <w:r>
        <w:t xml:space="preserve"> </w:t>
      </w:r>
      <w:hyperlink r:id="rId514">
        <w:r>
          <w:rPr>
            <w:rStyle w:val="Hyperlink"/>
          </w:rPr>
          <w:t xml:space="preserve">Methods S3</w:t>
        </w:r>
      </w:hyperlink>
      <w:r>
        <w:t xml:space="preserve">;</w:t>
      </w:r>
      <w:r>
        <w:t xml:space="preserve"> </w:t>
      </w:r>
      <w:r>
        <w:t xml:space="preserve">(Bates et al., 2015)</w:t>
      </w:r>
      <w:r>
        <w:t xml:space="preserve">). Note that brain outcomes were not standardized for these analyses to prevent incorrect estimation of the correlation structure.</w:t>
      </w:r>
    </w:p>
    <w:p>
      <w:pPr>
        <w:pStyle w:val="BodyText"/>
      </w:pPr>
      <w:r>
        <w:t xml:space="preserve">To further characterize the regional specificity of these effects, we assessed associations with: total intracranial, cerebro-spinal fluid, white matter, cortical and subcortical grey matter volumes, as well as subcortical regional volumes (Accumbens, Amygdala, Caudate, Hippocampus, Pallidum, Putamen, Thalamus); white-matter tracts FA and MD (Cingulate gyrus, Cortico-spinal tract, Uncinate fasciculus, Inferior &amp; Superior longitudinal fasciculus, Major &amp; Minor forceps), and vertex-wise cortical thickness (see</w:t>
      </w:r>
      <w:r>
        <w:t xml:space="preserve"> </w:t>
      </w:r>
      <w:hyperlink r:id="rId514">
        <w:r>
          <w:rPr>
            <w:rStyle w:val="Hyperlink"/>
          </w:rPr>
          <w:t xml:space="preserve">Methods S4</w:t>
        </w:r>
      </w:hyperlink>
      <w:r>
        <w:t xml:space="preserve">) at age 14. These latter analyses were further adjusted for total intracranial volume.</w:t>
      </w:r>
    </w:p>
    <w:p>
      <w:pPr>
        <w:pStyle w:val="BodyText"/>
      </w:pPr>
      <w:r>
        <w:t xml:space="preserve">Finally, since sex differences and premature birth have been implicated in the associations of interest</w:t>
      </w:r>
      <w:r>
        <w:t xml:space="preserve"> </w:t>
      </w:r>
      <w:r>
        <w:t xml:space="preserve">(Gluckman et al., 2008; Pasha et al., 2018)</w:t>
      </w:r>
      <w:r>
        <w:t xml:space="preserve">, we</w:t>
      </w:r>
      <w:r>
        <w:t xml:space="preserve"> </w:t>
      </w:r>
      <w:r>
        <w:rPr>
          <w:i/>
          <w:iCs/>
        </w:rPr>
        <w:t xml:space="preserve">a)</w:t>
      </w:r>
      <w:r>
        <w:t xml:space="preserve"> </w:t>
      </w:r>
      <w:r>
        <w:t xml:space="preserve">investigated effect modification by sex and</w:t>
      </w:r>
      <w:r>
        <w:t xml:space="preserve"> </w:t>
      </w:r>
      <w:r>
        <w:rPr>
          <w:i/>
          <w:iCs/>
        </w:rPr>
        <w:t xml:space="preserve">b)</w:t>
      </w:r>
      <w:r>
        <w:t xml:space="preserve"> </w:t>
      </w:r>
      <w:r>
        <w:t xml:space="preserve">additionally adjusted the main models for birthweight and gestational age at birth.</w:t>
      </w:r>
    </w:p>
    <w:p>
      <w:pPr>
        <w:pStyle w:val="BodyText"/>
      </w:pPr>
      <w:r>
        <w:rPr>
          <w:b/>
          <w:bCs/>
          <w:i/>
          <w:iCs/>
        </w:rPr>
        <w:t xml:space="preserve">Sensitivity analyses.</w:t>
      </w:r>
      <w:r>
        <w:t xml:space="preserve"> </w:t>
      </w:r>
      <w:r>
        <w:t xml:space="preserve">To assess the impact and adequacy of our sample selection and imputation procedure, we ran all analyses in the full cohort (</w:t>
      </w:r>
      <w:r>
        <w:rPr>
          <w:i/>
          <w:iCs/>
        </w:rPr>
        <w:t xml:space="preserve">n</w:t>
      </w:r>
      <w:r>
        <w:t xml:space="preserve">=9749) and in the subsample with complete outcome data (</w:t>
      </w:r>
      <w:r>
        <w:rPr>
          <w:i/>
          <w:iCs/>
        </w:rPr>
        <w:t xml:space="preserve">n</w:t>
      </w:r>
      <w:r>
        <w:t xml:space="preserve">=2054-2308).</w:t>
      </w:r>
    </w:p>
    <w:bookmarkEnd w:id="521"/>
    <w:bookmarkEnd w:id="522"/>
    <w:bookmarkStart w:id="539" w:name="results-3"/>
    <w:p>
      <w:pPr>
        <w:pStyle w:val="Heading2"/>
      </w:pPr>
      <w:r>
        <w:t xml:space="preserve">7.3 Results</w:t>
      </w:r>
    </w:p>
    <w:p>
      <w:pPr>
        <w:pStyle w:val="FirstParagraph"/>
      </w:pPr>
      <w:r>
        <w:t xml:space="preserve">Participants characteristics. Sample descriptives are displayed in</w:t>
      </w:r>
      <w:r>
        <w:t xml:space="preserve"> </w:t>
      </w:r>
      <w:hyperlink w:anchor="tbl-7.1">
        <w:r>
          <w:rPr>
            <w:rStyle w:val="Hyperlink"/>
          </w:rPr>
          <w:t xml:space="preserve">Table 7.1</w:t>
        </w:r>
      </w:hyperlink>
      <w:r>
        <w:t xml:space="preserve"> </w:t>
      </w:r>
      <w:r>
        <w:t xml:space="preserve">(see also</w:t>
      </w:r>
      <w:r>
        <w:t xml:space="preserve"> </w:t>
      </w:r>
      <w:hyperlink r:id="rId514">
        <w:r>
          <w:rPr>
            <w:rStyle w:val="Hyperlink"/>
          </w:rPr>
          <w:t xml:space="preserve">Tables S1-S2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3" w:name="tbl-7.1"/>
          <w:p>
            <w:pPr>
              <w:jc w:val="center"/>
            </w:pPr>
            <w:pPr>
              <w:jc w:val="start"/>
              <w:spacing w:before="200"/>
              <w:pStyle w:val="ImageCaption"/>
            </w:pPr>
            <w:r>
              <w:t xml:space="preserve">Table 7.1</w:t>
            </w:r>
          </w:p>
          <w:tbl>
            <w:tblPr>
              <w:tblStyle w:val="Table"/>
              <w:tblW w:type="auto" w:w="0"/>
              <w:tblLook w:firstRow="1" w:lastRow="1" w:firstColumn="0" w:lastColumn="0" w:noHBand="0" w:noVBand="0" w:val="0020"/>
            </w:tblPr>
            <w:tblGrid>
              <w:gridCol w:w="2640"/>
              <w:gridCol w:w="2640"/>
              <w:gridCol w:w="2640"/>
            </w:tblGrid>
            <w:tr>
              <w:trPr>
                <w:tblHeader w:val="on"/>
              </w:trPr>
              <w:tc>
                <w:tcPr>
                  <w:gridSpan w:val="3"/>
                </w:tcPr>
                <w:p>
                  <w:pPr>
                    <w:pStyle w:val="Compact"/>
                    <w:jc w:val="center"/>
                  </w:pPr>
                  <w:r>
                    <w:rPr>
                      <w:b/>
                      <w:bCs/>
                    </w:rPr>
                    <w:t xml:space="preserve">Sample descriptives</w:t>
                  </w:r>
                  <w:r>
                    <w:br/>
                  </w:r>
                  <w:r>
                    <w:t xml:space="preserve">Generation R (GenR)</w:t>
                  </w:r>
                </w:p>
              </w:tc>
            </w:tr>
            <w:tr>
              <w:tc>
                <w:tcPr/>
                <w:p>
                  <w:pPr>
                    <w:pStyle w:val="Compact"/>
                    <w:jc w:val="center"/>
                  </w:pPr>
                  <w:r>
                    <w:rPr>
                      <w:b/>
                      <w:bCs/>
                    </w:rPr>
                    <w:t xml:space="preserve">Measure</w:t>
                  </w:r>
                </w:p>
              </w:tc>
              <w:tc>
                <w:tcPr/>
                <w:p>
                  <w:pPr>
                    <w:pStyle w:val="Compact"/>
                    <w:jc w:val="center"/>
                  </w:pPr>
                  <w:r>
                    <w:rPr>
                      <w:b/>
                      <w:bCs/>
                    </w:rPr>
                    <w:t xml:space="preserve">Time point</w:t>
                  </w:r>
                </w:p>
              </w:tc>
              <w:tc>
                <w:tcPr/>
                <w:p>
                  <w:pPr>
                    <w:pStyle w:val="Compact"/>
                    <w:jc w:val="center"/>
                  </w:pPr>
                  <w:r>
                    <w:rPr>
                      <w:b/>
                      <w:bCs/>
                    </w:rPr>
                    <w:t xml:space="preserve">Descriptives</w:t>
                  </w:r>
                </w:p>
              </w:tc>
            </w:tr>
            <w:tr>
              <w:tc>
                <w:tcPr/>
                <w:p>
                  <w:pPr>
                    <w:pStyle w:val="Compact"/>
                    <w:jc w:val="center"/>
                  </w:pPr>
                  <w:r>
                    <w:t xml:space="preserve">Sex,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Male</w:t>
                  </w:r>
                </w:p>
              </w:tc>
              <w:tc>
                <w:tcPr/>
                <w:p>
                  <w:pPr>
                    <w:pStyle w:val="Compact"/>
                    <w:jc w:val="center"/>
                  </w:pPr>
                  <w:r>
                    <w:t xml:space="preserve"> </w:t>
                  </w:r>
                </w:p>
              </w:tc>
              <w:tc>
                <w:tcPr/>
                <w:p>
                  <w:pPr>
                    <w:pStyle w:val="Compact"/>
                    <w:jc w:val="center"/>
                  </w:pPr>
                  <w:r>
                    <w:t xml:space="preserve">2647 (49.6%)</w:t>
                  </w:r>
                </w:p>
              </w:tc>
            </w:tr>
            <w:tr>
              <w:tc>
                <w:tcPr/>
                <w:p>
                  <w:pPr>
                    <w:pStyle w:val="Compact"/>
                    <w:jc w:val="center"/>
                  </w:pPr>
                  <w:r>
                    <w:t xml:space="preserve">Female</w:t>
                  </w:r>
                </w:p>
              </w:tc>
              <w:tc>
                <w:tcPr/>
                <w:p>
                  <w:pPr>
                    <w:pStyle w:val="Compact"/>
                    <w:jc w:val="center"/>
                  </w:pPr>
                  <w:r>
                    <w:t xml:space="preserve"> </w:t>
                  </w:r>
                </w:p>
              </w:tc>
              <w:tc>
                <w:tcPr/>
                <w:p>
                  <w:pPr>
                    <w:pStyle w:val="Compact"/>
                    <w:jc w:val="center"/>
                  </w:pPr>
                  <w:r>
                    <w:t xml:space="preserve">2694 (50.4%)</w:t>
                  </w:r>
                </w:p>
              </w:tc>
            </w:tr>
            <w:tr>
              <w:tc>
                <w:tcPr/>
                <w:p>
                  <w:pPr>
                    <w:pStyle w:val="Compact"/>
                    <w:jc w:val="center"/>
                  </w:pPr>
                  <w:r>
                    <w:t xml:space="preserve">Ethnic background,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European</w:t>
                  </w:r>
                </w:p>
              </w:tc>
              <w:tc>
                <w:tcPr/>
                <w:p>
                  <w:pPr>
                    <w:pStyle w:val="Compact"/>
                    <w:jc w:val="center"/>
                  </w:pPr>
                  <w:r>
                    <w:t xml:space="preserve"> </w:t>
                  </w:r>
                </w:p>
              </w:tc>
              <w:tc>
                <w:tcPr/>
                <w:p>
                  <w:pPr>
                    <w:pStyle w:val="Compact"/>
                    <w:jc w:val="center"/>
                  </w:pPr>
                  <w:r>
                    <w:t xml:space="preserve">3448 (64.6%)</w:t>
                  </w:r>
                </w:p>
              </w:tc>
            </w:tr>
            <w:tr>
              <w:tc>
                <w:tcPr/>
                <w:p>
                  <w:pPr>
                    <w:pStyle w:val="Compact"/>
                    <w:jc w:val="center"/>
                  </w:pPr>
                  <w:r>
                    <w:t xml:space="preserve">Non-European</w:t>
                  </w:r>
                </w:p>
              </w:tc>
              <w:tc>
                <w:tcPr/>
                <w:p>
                  <w:pPr>
                    <w:pStyle w:val="Compact"/>
                    <w:jc w:val="center"/>
                  </w:pPr>
                  <w:r>
                    <w:t xml:space="preserve"> </w:t>
                  </w:r>
                </w:p>
              </w:tc>
              <w:tc>
                <w:tcPr/>
                <w:p>
                  <w:pPr>
                    <w:pStyle w:val="Compact"/>
                    <w:jc w:val="center"/>
                  </w:pPr>
                  <w:r>
                    <w:t xml:space="preserve">1893 (35.4%)</w:t>
                  </w:r>
                </w:p>
              </w:tc>
            </w:tr>
            <w:tr>
              <w:tc>
                <w:tcPr/>
                <w:p>
                  <w:pPr>
                    <w:pStyle w:val="Compact"/>
                    <w:jc w:val="center"/>
                  </w:pPr>
                  <w:r>
                    <w:t xml:space="preserve">Maternal age,</w:t>
                  </w:r>
                  <w:r>
                    <w:t xml:space="preserve"> </w:t>
                  </w:r>
                  <w:r>
                    <w:t xml:space="preserve">years, mean (SD)</w:t>
                  </w:r>
                </w:p>
              </w:tc>
              <w:tc>
                <w:tcPr/>
                <w:p>
                  <w:pPr>
                    <w:pStyle w:val="Compact"/>
                    <w:jc w:val="center"/>
                  </w:pPr>
                  <w:r>
                    <w:t xml:space="preserve">Birth</w:t>
                  </w:r>
                </w:p>
              </w:tc>
              <w:tc>
                <w:tcPr/>
                <w:p>
                  <w:pPr>
                    <w:pStyle w:val="Compact"/>
                    <w:jc w:val="center"/>
                  </w:pPr>
                  <w:r>
                    <w:t xml:space="preserve">30.9 (5.0)</w:t>
                  </w:r>
                </w:p>
              </w:tc>
            </w:tr>
            <w:tr>
              <w:tc>
                <w:tcPr/>
                <w:p>
                  <w:pPr>
                    <w:pStyle w:val="Compact"/>
                    <w:jc w:val="center"/>
                  </w:pPr>
                  <w:r>
                    <w:t xml:space="preserve">Maternal education</w:t>
                  </w:r>
                  <w:r>
                    <w:rPr>
                      <w:vertAlign w:val="superscript"/>
                    </w:rPr>
                    <w:t xml:space="preserve">a</w:t>
                  </w:r>
                  <w:r>
                    <w:t xml:space="preserve">, n (%)</w:t>
                  </w:r>
                </w:p>
              </w:tc>
              <w:tc>
                <w:tcPr/>
                <w:p>
                  <w:pPr>
                    <w:pStyle w:val="Compact"/>
                    <w:jc w:val="center"/>
                  </w:pPr>
                  <w:r>
                    <w:t xml:space="preserve">6y</w:t>
                  </w:r>
                </w:p>
              </w:tc>
              <w:tc>
                <w:tcPr/>
                <w:p>
                  <w:pPr>
                    <w:pStyle w:val="Compact"/>
                    <w:jc w:val="center"/>
                  </w:pPr>
                  <w:r>
                    <w:t xml:space="preserve"> </w:t>
                  </w:r>
                </w:p>
              </w:tc>
            </w:tr>
            <w:tr>
              <w:tc>
                <w:tcPr/>
                <w:p>
                  <w:pPr>
                    <w:pStyle w:val="Compact"/>
                    <w:jc w:val="center"/>
                  </w:pPr>
                  <w:r>
                    <w:t xml:space="preserve">Low</w:t>
                  </w:r>
                </w:p>
              </w:tc>
              <w:tc>
                <w:tcPr/>
                <w:p>
                  <w:pPr>
                    <w:pStyle w:val="Compact"/>
                    <w:jc w:val="center"/>
                  </w:pPr>
                  <w:r>
                    <w:t xml:space="preserve"> </w:t>
                  </w:r>
                </w:p>
              </w:tc>
              <w:tc>
                <w:tcPr/>
                <w:p>
                  <w:pPr>
                    <w:pStyle w:val="Compact"/>
                    <w:jc w:val="center"/>
                  </w:pPr>
                  <w:r>
                    <w:t xml:space="preserve">2447 (45.8%)</w:t>
                  </w:r>
                </w:p>
              </w:tc>
            </w:tr>
            <w:tr>
              <w:tc>
                <w:tcPr/>
                <w:p>
                  <w:pPr>
                    <w:pStyle w:val="Compact"/>
                    <w:jc w:val="center"/>
                  </w:pPr>
                  <w:r>
                    <w:t xml:space="preserve">Medium</w:t>
                  </w:r>
                </w:p>
              </w:tc>
              <w:tc>
                <w:tcPr/>
                <w:p>
                  <w:pPr>
                    <w:pStyle w:val="Compact"/>
                    <w:jc w:val="center"/>
                  </w:pPr>
                  <w:r>
                    <w:t xml:space="preserve"> </w:t>
                  </w:r>
                </w:p>
              </w:tc>
              <w:tc>
                <w:tcPr/>
                <w:p>
                  <w:pPr>
                    <w:pStyle w:val="Compact"/>
                    <w:jc w:val="center"/>
                  </w:pPr>
                  <w:r>
                    <w:t xml:space="preserve">1424 (26.7%)</w:t>
                  </w:r>
                </w:p>
              </w:tc>
            </w:tr>
            <w:tr>
              <w:tc>
                <w:tcPr/>
                <w:p>
                  <w:pPr>
                    <w:pStyle w:val="Compact"/>
                    <w:jc w:val="center"/>
                  </w:pPr>
                  <w:r>
                    <w:t xml:space="preserve">High</w:t>
                  </w:r>
                </w:p>
              </w:tc>
              <w:tc>
                <w:tcPr/>
                <w:p>
                  <w:pPr>
                    <w:pStyle w:val="Compact"/>
                    <w:jc w:val="center"/>
                  </w:pPr>
                  <w:r>
                    <w:t xml:space="preserve"> </w:t>
                  </w:r>
                </w:p>
              </w:tc>
              <w:tc>
                <w:tcPr/>
                <w:p>
                  <w:pPr>
                    <w:pStyle w:val="Compact"/>
                    <w:jc w:val="center"/>
                  </w:pPr>
                  <w:r>
                    <w:t xml:space="preserve">1470 (27.5%)</w:t>
                  </w:r>
                </w:p>
              </w:tc>
            </w:tr>
            <w:tr>
              <w:tc>
                <w:tcPr/>
                <w:p>
                  <w:pPr>
                    <w:pStyle w:val="Compact"/>
                    <w:jc w:val="center"/>
                  </w:pPr>
                  <w:r>
                    <w:t xml:space="preserve">Height,</w:t>
                  </w:r>
                  <w:r>
                    <w:t xml:space="preserve"> </w:t>
                  </w:r>
                  <w:r>
                    <w:t xml:space="preserve">cm, mean (SD)</w:t>
                  </w:r>
                </w:p>
              </w:tc>
              <w:tc>
                <w:tcPr/>
                <w:p>
                  <w:pPr>
                    <w:pStyle w:val="Compact"/>
                    <w:jc w:val="center"/>
                  </w:pPr>
                  <w:r>
                    <w:t xml:space="preserve">10y</w:t>
                  </w:r>
                </w:p>
              </w:tc>
              <w:tc>
                <w:tcPr/>
                <w:p>
                  <w:pPr>
                    <w:pStyle w:val="Compact"/>
                    <w:jc w:val="center"/>
                  </w:pPr>
                  <w:r>
                    <w:t xml:space="preserve">141.5 (6.7)</w:t>
                  </w:r>
                </w:p>
              </w:tc>
            </w:tr>
            <w:tr>
              <w:tc>
                <w:tcPr/>
                <w:p>
                  <w:pPr>
                    <w:pStyle w:val="Compact"/>
                    <w:jc w:val="center"/>
                  </w:pPr>
                  <w:r>
                    <w:t xml:space="preserve">Body mass index (BMI),</w:t>
                  </w:r>
                  <w:r>
                    <w:t xml:space="preserve"> </w:t>
                  </w:r>
                  <w:r>
                    <w:t xml:space="preserve">kg/m</w:t>
                  </w:r>
                  <w:r>
                    <w:rPr>
                      <w:vertAlign w:val="superscript"/>
                    </w:rPr>
                    <w:t xml:space="preserve">2</w:t>
                  </w:r>
                  <w:r>
                    <w:t xml:space="preserve">, median [range]</w:t>
                  </w:r>
                </w:p>
              </w:tc>
              <w:tc>
                <w:tcPr/>
                <w:p>
                  <w:pPr>
                    <w:pStyle w:val="Compact"/>
                    <w:jc w:val="center"/>
                  </w:pPr>
                  <w:r>
                    <w:t xml:space="preserve">10y</w:t>
                  </w:r>
                </w:p>
              </w:tc>
              <w:tc>
                <w:tcPr/>
                <w:p>
                  <w:pPr>
                    <w:pStyle w:val="Compact"/>
                    <w:jc w:val="center"/>
                  </w:pPr>
                  <w:r>
                    <w:t xml:space="preserve">17.01 [12.02-35.41]</w:t>
                  </w:r>
                </w:p>
              </w:tc>
            </w:tr>
            <w:tr>
              <w:tc>
                <w:tcPr/>
                <w:p>
                  <w:pPr>
                    <w:pStyle w:val="Compact"/>
                    <w:jc w:val="center"/>
                  </w:pPr>
                  <w:r>
                    <w:t xml:space="preserve">Carotid intima-media thickness (IMT),</w:t>
                  </w:r>
                  <w:r>
                    <w:t xml:space="preserve"> </w:t>
                  </w:r>
                  <w:r>
                    <w:t xml:space="preserve">mm, mean (SD)</w:t>
                  </w:r>
                </w:p>
              </w:tc>
              <w:tc>
                <w:tcPr/>
                <w:p>
                  <w:pPr>
                    <w:pStyle w:val="Compact"/>
                    <w:jc w:val="center"/>
                  </w:pPr>
                  <w:r>
                    <w:t xml:space="preserve">10y</w:t>
                  </w:r>
                </w:p>
              </w:tc>
              <w:tc>
                <w:tcPr/>
                <w:p>
                  <w:pPr>
                    <w:pStyle w:val="Compact"/>
                    <w:jc w:val="center"/>
                  </w:pPr>
                  <w:r>
                    <w:t xml:space="preserve">0.46 (0.04)</w:t>
                  </w:r>
                </w:p>
              </w:tc>
            </w:tr>
            <w:tr>
              <w:tc>
                <w:tcPr/>
                <w:p>
                  <w:pPr>
                    <w:pStyle w:val="Compact"/>
                    <w:jc w:val="center"/>
                  </w:pPr>
                  <w:r>
                    <w:t xml:space="preserve">Carotid distensibility,</w:t>
                  </w:r>
                  <w:r>
                    <w:t xml:space="preserve"> </w:t>
                  </w:r>
                  <w:r>
                    <w:t xml:space="preserve">kPa</w:t>
                  </w:r>
                  <w:r>
                    <w:rPr>
                      <w:vertAlign w:val="superscript"/>
                    </w:rPr>
                    <w:t xml:space="preserve">−1</w:t>
                  </w:r>
                  <w:r>
                    <w:t xml:space="preserve">×10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57.2 (12.4)</w:t>
                  </w:r>
                </w:p>
              </w:tc>
            </w:tr>
            <w:tr>
              <w:tc>
                <w:tcPr/>
                <w:p>
                  <w:pPr>
                    <w:pStyle w:val="Compact"/>
                    <w:jc w:val="center"/>
                  </w:pPr>
                  <w:r>
                    <w:t xml:space="preserve">Systolic blood pressure (SBP),</w:t>
                  </w:r>
                  <w:r>
                    <w:t xml:space="preserve"> </w:t>
                  </w:r>
                  <w:r>
                    <w:t xml:space="preserve">mm Hg, mean (SD)</w:t>
                  </w:r>
                </w:p>
              </w:tc>
              <w:tc>
                <w:tcPr/>
                <w:p>
                  <w:pPr>
                    <w:pStyle w:val="Compact"/>
                    <w:jc w:val="center"/>
                  </w:pPr>
                  <w:r>
                    <w:t xml:space="preserve">10y</w:t>
                  </w:r>
                </w:p>
              </w:tc>
              <w:tc>
                <w:tcPr/>
                <w:p>
                  <w:pPr>
                    <w:pStyle w:val="Compact"/>
                    <w:jc w:val="center"/>
                  </w:pPr>
                  <w:r>
                    <w:t xml:space="preserve">103 (8)</w:t>
                  </w:r>
                </w:p>
              </w:tc>
            </w:tr>
            <w:tr>
              <w:tc>
                <w:tcPr/>
                <w:p>
                  <w:pPr>
                    <w:pStyle w:val="Compact"/>
                    <w:jc w:val="center"/>
                  </w:pPr>
                  <w:r>
                    <w:t xml:space="preserve">Diastolic blood pressure (DBP),</w:t>
                  </w:r>
                  <w:r>
                    <w:t xml:space="preserve"> </w:t>
                  </w:r>
                  <w:r>
                    <w:t xml:space="preserve">mm Hg, mean (SD)</w:t>
                  </w:r>
                </w:p>
              </w:tc>
              <w:tc>
                <w:tcPr/>
                <w:p>
                  <w:pPr>
                    <w:pStyle w:val="Compact"/>
                    <w:jc w:val="center"/>
                  </w:pPr>
                  <w:r>
                    <w:t xml:space="preserve">10y</w:t>
                  </w:r>
                </w:p>
              </w:tc>
              <w:tc>
                <w:tcPr/>
                <w:p>
                  <w:pPr>
                    <w:pStyle w:val="Compact"/>
                    <w:jc w:val="center"/>
                  </w:pPr>
                  <w:r>
                    <w:t xml:space="preserve">59 (6)</w:t>
                  </w:r>
                </w:p>
              </w:tc>
            </w:tr>
            <w:tr>
              <w:tc>
                <w:tcPr>
                  <w:vMerge w:val="restart"/>
                </w:tcPr>
                <w:p>
                  <w:pPr>
                    <w:pStyle w:val="Compact"/>
                    <w:jc w:val="center"/>
                  </w:pPr>
                  <w:r>
                    <w:t xml:space="preserve">Age (at MRI visit),</w:t>
                  </w:r>
                  <w:r>
                    <w:t xml:space="preserve"> </w:t>
                  </w:r>
                  <w:r>
                    <w:t xml:space="preserve">years, median [range]</w:t>
                  </w:r>
                </w:p>
              </w:tc>
              <w:tc>
                <w:tcPr/>
                <w:p>
                  <w:pPr>
                    <w:pStyle w:val="Compact"/>
                    <w:jc w:val="center"/>
                  </w:pPr>
                  <w:r>
                    <w:t xml:space="preserve">10y</w:t>
                  </w:r>
                </w:p>
              </w:tc>
              <w:tc>
                <w:tcPr/>
                <w:p>
                  <w:pPr>
                    <w:pStyle w:val="Compact"/>
                    <w:jc w:val="center"/>
                  </w:pPr>
                  <w:r>
                    <w:t xml:space="preserve">9.98 [8.55-13.00]</w:t>
                  </w:r>
                </w:p>
              </w:tc>
            </w:tr>
            <w:tr>
              <w:tc>
                <w:tcPr>
                  <w:gridSpan w:val="1"/>
                  <w:vMerge w:val="continue"/>
                </w:tcPr>
                <w:p>
                  <w:pPr/>
                </w:p>
              </w:tc>
              <w:tc>
                <w:tcPr/>
                <w:p>
                  <w:pPr>
                    <w:pStyle w:val="Compact"/>
                    <w:jc w:val="center"/>
                  </w:pPr>
                  <w:r>
                    <w:t xml:space="preserve">14y</w:t>
                  </w:r>
                </w:p>
              </w:tc>
              <w:tc>
                <w:tcPr/>
                <w:p>
                  <w:pPr>
                    <w:pStyle w:val="Compact"/>
                    <w:jc w:val="center"/>
                  </w:pPr>
                  <w:r>
                    <w:t xml:space="preserve">13.82 [12.59-16.68]</w:t>
                  </w:r>
                </w:p>
              </w:tc>
            </w:tr>
            <w:tr>
              <w:tc>
                <w:tcPr>
                  <w:vMerge w:val="restart"/>
                </w:tcPr>
                <w:p>
                  <w:pPr>
                    <w:pStyle w:val="Compact"/>
                    <w:jc w:val="center"/>
                  </w:pPr>
                  <w:r>
                    <w:t xml:space="preserve">Total brain volume (TBV),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1196.8 (97.5)</w:t>
                  </w:r>
                </w:p>
              </w:tc>
            </w:tr>
            <w:tr>
              <w:tc>
                <w:tcPr>
                  <w:gridSpan w:val="1"/>
                  <w:vMerge w:val="continue"/>
                </w:tcPr>
                <w:p>
                  <w:pPr/>
                </w:p>
              </w:tc>
              <w:tc>
                <w:tcPr/>
                <w:p>
                  <w:pPr>
                    <w:pStyle w:val="Compact"/>
                    <w:jc w:val="center"/>
                  </w:pPr>
                  <w:r>
                    <w:t xml:space="preserve">14y</w:t>
                  </w:r>
                </w:p>
              </w:tc>
              <w:tc>
                <w:tcPr/>
                <w:p>
                  <w:pPr>
                    <w:pStyle w:val="Compact"/>
                    <w:jc w:val="center"/>
                  </w:pPr>
                  <w:r>
                    <w:t xml:space="preserve">1223.8 (95.5)</w:t>
                  </w:r>
                </w:p>
              </w:tc>
            </w:tr>
            <w:tr>
              <w:tc>
                <w:tcPr>
                  <w:vMerge w:val="restart"/>
                </w:tcPr>
                <w:p>
                  <w:pPr>
                    <w:pStyle w:val="Compact"/>
                    <w:jc w:val="center"/>
                  </w:pPr>
                  <w:r>
                    <w:t xml:space="preserve">Grey matter volume (GMV),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750.7 (58.6)</w:t>
                  </w:r>
                </w:p>
              </w:tc>
            </w:tr>
            <w:tr>
              <w:tc>
                <w:tcPr>
                  <w:gridSpan w:val="1"/>
                  <w:vMerge w:val="continue"/>
                </w:tcPr>
                <w:p>
                  <w:pPr/>
                </w:p>
              </w:tc>
              <w:tc>
                <w:tcPr/>
                <w:p>
                  <w:pPr>
                    <w:pStyle w:val="Compact"/>
                    <w:jc w:val="center"/>
                  </w:pPr>
                  <w:r>
                    <w:t xml:space="preserve">14y</w:t>
                  </w:r>
                </w:p>
              </w:tc>
              <w:tc>
                <w:tcPr/>
                <w:p>
                  <w:pPr>
                    <w:pStyle w:val="Compact"/>
                    <w:jc w:val="center"/>
                  </w:pPr>
                  <w:r>
                    <w:t xml:space="preserve">748.5 (56.3)</w:t>
                  </w:r>
                </w:p>
              </w:tc>
            </w:tr>
            <w:tr>
              <w:tc>
                <w:tcPr>
                  <w:vMerge w:val="restart"/>
                </w:tcPr>
                <w:p>
                  <w:pPr>
                    <w:pStyle w:val="Compact"/>
                    <w:jc w:val="center"/>
                  </w:pPr>
                  <w:r>
                    <w:t xml:space="preserve">Global fractional anisotropy (FA),</w:t>
                  </w:r>
                  <w:r>
                    <w:t xml:space="preserve"> </w:t>
                  </w:r>
                  <w:r>
                    <w:t xml:space="preserve">mean (SD)</w:t>
                  </w:r>
                </w:p>
              </w:tc>
              <w:tc>
                <w:tcPr/>
                <w:p>
                  <w:pPr>
                    <w:pStyle w:val="Compact"/>
                    <w:jc w:val="center"/>
                  </w:pPr>
                  <w:r>
                    <w:t xml:space="preserve">10y</w:t>
                  </w:r>
                </w:p>
              </w:tc>
              <w:tc>
                <w:tcPr/>
                <w:p>
                  <w:pPr>
                    <w:pStyle w:val="Compact"/>
                    <w:jc w:val="center"/>
                  </w:pPr>
                  <w:r>
                    <w:t xml:space="preserve">0.54 (0.02)</w:t>
                  </w:r>
                </w:p>
              </w:tc>
            </w:tr>
            <w:tr>
              <w:tc>
                <w:tcPr>
                  <w:gridSpan w:val="1"/>
                  <w:vMerge w:val="continue"/>
                </w:tcPr>
                <w:p>
                  <w:pPr/>
                </w:p>
              </w:tc>
              <w:tc>
                <w:tcPr/>
                <w:p>
                  <w:pPr>
                    <w:pStyle w:val="Compact"/>
                    <w:jc w:val="center"/>
                  </w:pPr>
                  <w:r>
                    <w:t xml:space="preserve">14y</w:t>
                  </w:r>
                </w:p>
              </w:tc>
              <w:tc>
                <w:tcPr/>
                <w:p>
                  <w:pPr>
                    <w:pStyle w:val="Compact"/>
                    <w:jc w:val="center"/>
                  </w:pPr>
                  <w:r>
                    <w:t xml:space="preserve">0.55 (0.01)</w:t>
                  </w:r>
                </w:p>
              </w:tc>
            </w:tr>
            <w:tr>
              <w:tc>
                <w:tcPr>
                  <w:vMerge w:val="restart"/>
                </w:tcPr>
                <w:p>
                  <w:pPr>
                    <w:pStyle w:val="Compact"/>
                    <w:jc w:val="center"/>
                  </w:pPr>
                  <w:r>
                    <w:t xml:space="preserve">Global mean diffusivity (MD),</w:t>
                  </w:r>
                  <w:r>
                    <w:t xml:space="preserve"> </w:t>
                  </w:r>
                  <w:r>
                    <w:t xml:space="preserve">mm</w:t>
                  </w:r>
                  <w:r>
                    <w:rPr>
                      <w:vertAlign w:val="superscript"/>
                    </w:rPr>
                    <w:t xml:space="preserve">2</w:t>
                  </w:r>
                  <w:r>
                    <w:t xml:space="preserve">/sec × 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0.82 (0.02)</w:t>
                  </w:r>
                </w:p>
              </w:tc>
            </w:tr>
            <w:tr>
              <w:tc>
                <w:tcPr>
                  <w:gridSpan w:val="1"/>
                  <w:vMerge w:val="continue"/>
                </w:tcPr>
                <w:p>
                  <w:pPr/>
                </w:p>
              </w:tc>
              <w:tc>
                <w:tcPr/>
                <w:p>
                  <w:pPr>
                    <w:pStyle w:val="Compact"/>
                    <w:jc w:val="center"/>
                  </w:pPr>
                  <w:r>
                    <w:t xml:space="preserve">14y</w:t>
                  </w:r>
                </w:p>
              </w:tc>
              <w:tc>
                <w:tcPr/>
                <w:p>
                  <w:pPr>
                    <w:pStyle w:val="Compact"/>
                    <w:jc w:val="center"/>
                  </w:pPr>
                  <w:r>
                    <w:t xml:space="preserve">0.80 (0.02)</w:t>
                  </w:r>
                </w:p>
              </w:tc>
            </w:tr>
            <w:tr>
              <w:tc>
                <w:tcPr>
                  <w:gridSpan w:val="3"/>
                </w:tcPr>
                <w:p>
                  <w:pPr>
                    <w:pStyle w:val="Compact"/>
                    <w:jc w:val="center"/>
                  </w:pPr>
                  <w:r>
                    <w:t xml:space="preserve"> </w:t>
                  </w:r>
                  <w:r>
                    <w:rPr>
                      <w:vertAlign w:val="superscript"/>
                    </w:rPr>
                    <w:t xml:space="preserve">a</w:t>
                  </w:r>
                  <w:r>
                    <w:t xml:space="preserve">Maternal education: low = “secondary, phase 2” or lower; medium = “higher, phase 1”; high = “higher, phase 2”. Categorization based on ISCED 2011.</w:t>
                  </w:r>
                </w:p>
              </w:tc>
            </w:tr>
          </w:tbl>
          <w:bookmarkEnd w:id="523"/>
          <w:p/>
        </w:tc>
      </w:tr>
    </w:tbl>
    <w:bookmarkStart w:id="532" w:name="main-analyses-3"/>
    <w:p>
      <w:pPr>
        <w:pStyle w:val="Heading3"/>
      </w:pPr>
      <w:r>
        <w:t xml:space="preserve">Main analyses</w:t>
      </w:r>
    </w:p>
    <w:p>
      <w:pPr>
        <w:pStyle w:val="FirstParagraph"/>
      </w:pPr>
      <w:r>
        <w:t xml:space="preserve">An overview of the main results is presented in</w:t>
      </w:r>
      <w:r>
        <w:t xml:space="preserve"> </w:t>
      </w:r>
      <w:hyperlink w:anchor="fig-7.1">
        <w:r>
          <w:rPr>
            <w:rStyle w:val="Hyperlink"/>
          </w:rPr>
          <w:t xml:space="preserve">Figure 7.1</w:t>
        </w:r>
      </w:hyperlink>
      <w:r>
        <w:t xml:space="preserve">. Complete model outputs are reported in supplementary materials (</w:t>
      </w:r>
      <w:hyperlink r:id="rId514">
        <w:r>
          <w:rPr>
            <w:rStyle w:val="Hyperlink"/>
          </w:rPr>
          <w:t xml:space="preserve">Table S3</w:t>
        </w:r>
      </w:hyperlink>
      <w:r>
        <w:t xml:space="preserve">). Neither carotid IMT nor distensibility were significantly associated with any brain outcome (</w:t>
      </w:r>
      <w:hyperlink w:anchor="fig-7.1">
        <w:r>
          <w:rPr>
            <w:rStyle w:val="Hyperlink"/>
          </w:rPr>
          <w:t xml:space="preserve">Figure 7.1</w:t>
        </w:r>
      </w:hyperlink>
      <w:r>
        <w:t xml:space="preserve"> </w:t>
      </w:r>
      <w:r>
        <w:t xml:space="preserve">A-B,</w:t>
      </w:r>
      <w:r>
        <w:t xml:space="preserve"> </w:t>
      </w:r>
      <w:hyperlink r:id="rId514">
        <w:r>
          <w:rPr>
            <w:rStyle w:val="Hyperlink"/>
          </w:rPr>
          <w:t xml:space="preserve">Table S3</w:t>
        </w:r>
      </w:hyperlink>
      <w:r>
        <w:t xml:space="preserve">). After adjustment for potential confounders, SBP was (cross-sectionally) associated with lower TBV (β [95%CI] = -0.04 [-0.07;-0.01], P</w:t>
      </w:r>
      <w:r>
        <w:rPr>
          <w:i/>
          <w:iCs/>
          <w:vertAlign w:val="subscript"/>
        </w:rPr>
        <w:t xml:space="preserve">FDR</w:t>
      </w:r>
      <w:r>
        <w:t xml:space="preserve"> </w:t>
      </w:r>
      <w:r>
        <w:t xml:space="preserve">= .030) and GMV (β [95%CI] = -0.05 [-0.08;-0.01], P</w:t>
      </w:r>
      <w:r>
        <w:rPr>
          <w:i/>
          <w:iCs/>
          <w:vertAlign w:val="subscript"/>
        </w:rPr>
        <w:t xml:space="preserve">FDR</w:t>
      </w:r>
      <w:r>
        <w:t xml:space="preserve"> </w:t>
      </w:r>
      <w:r>
        <w:t xml:space="preserve">= .030) but not with either FA or MD (</w:t>
      </w:r>
      <w:hyperlink w:anchor="fig-7.1">
        <w:r>
          <w:rPr>
            <w:rStyle w:val="Hyperlink"/>
          </w:rPr>
          <w:t xml:space="preserve">Figure 7.1</w:t>
        </w:r>
      </w:hyperlink>
      <w:r>
        <w:t xml:space="preserve"> </w:t>
      </w:r>
      <w:r>
        <w:t xml:space="preserve">C,</w:t>
      </w:r>
      <w:r>
        <w:t xml:space="preserve"> </w:t>
      </w:r>
      <w:hyperlink r:id="rId514">
        <w:r>
          <w:rPr>
            <w:rStyle w:val="Hyperlink"/>
          </w:rPr>
          <w:t xml:space="preserve">Table S3</w:t>
        </w:r>
      </w:hyperlink>
      <w:r>
        <w:t xml:space="preserve">). Analogously, DBP was (cross-sectionally) associated with TBV (β [95%CI] = -0.04 [-0.07;-0.01], P</w:t>
      </w:r>
      <w:r>
        <w:rPr>
          <w:i/>
          <w:iCs/>
          <w:vertAlign w:val="subscript"/>
        </w:rPr>
        <w:t xml:space="preserve">FDR</w:t>
      </w:r>
      <w:r>
        <w:t xml:space="preserve"> </w:t>
      </w:r>
      <w:r>
        <w:t xml:space="preserve">= .022) and GMV (β [95%CI] = -0.04 [-0.07;-0.01], P</w:t>
      </w:r>
      <w:r>
        <w:rPr>
          <w:i/>
          <w:iCs/>
          <w:vertAlign w:val="subscript"/>
        </w:rPr>
        <w:t xml:space="preserve">FDR</w:t>
      </w:r>
      <w:r>
        <w:t xml:space="preserve"> </w:t>
      </w:r>
      <w:r>
        <w:t xml:space="preserve">= .022), but not FA or MD (</w:t>
      </w:r>
      <w:hyperlink w:anchor="fig-7.1">
        <w:r>
          <w:rPr>
            <w:rStyle w:val="Hyperlink"/>
          </w:rPr>
          <w:t xml:space="preserve">Figure 7.1</w:t>
        </w:r>
      </w:hyperlink>
      <w:r>
        <w:t xml:space="preserve"> </w:t>
      </w:r>
      <w:r>
        <w:t xml:space="preserve">D,</w:t>
      </w:r>
      <w:r>
        <w:t xml:space="preserve"> </w:t>
      </w:r>
      <w:hyperlink r:id="rId514">
        <w:r>
          <w:rPr>
            <w:rStyle w:val="Hyperlink"/>
          </w:rPr>
          <w:t xml:space="preserve">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7" w:name="fig-7.1"/>
          <w:p>
            <w:pPr>
              <w:pStyle w:val="Compact"/>
              <w:jc w:val="center"/>
            </w:pPr>
            <w:r>
              <w:drawing>
                <wp:inline>
                  <wp:extent cx="5943600" cy="3539270"/>
                  <wp:effectExtent b="0" l="0" r="0" t="0"/>
                  <wp:docPr descr="" title="" id="525" name="Picture"/>
                  <a:graphic>
                    <a:graphicData uri="http://schemas.openxmlformats.org/drawingml/2006/picture">
                      <pic:pic>
                        <pic:nvPicPr>
                          <pic:cNvPr descr="7.Chapter/Figures/F1_lineares.png" id="526" name="Picture"/>
                          <pic:cNvPicPr>
                            <a:picLocks noChangeArrowheads="1" noChangeAspect="1"/>
                          </pic:cNvPicPr>
                        </pic:nvPicPr>
                        <pic:blipFill>
                          <a:blip r:embed="rId524"/>
                          <a:stretch>
                            <a:fillRect/>
                          </a:stretch>
                        </pic:blipFill>
                        <pic:spPr bwMode="auto">
                          <a:xfrm>
                            <a:off x="0" y="0"/>
                            <a:ext cx="5943600" cy="3539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w:t>
            </w:r>
            <w:r>
              <w:t xml:space="preserve"> </w:t>
            </w:r>
            <w:r>
              <w:rPr>
                <w:b/>
                <w:bCs/>
              </w:rPr>
              <w:t xml:space="preserve">Arterial thickness, stiffness and blood pressure and brain morphology at 14 years.</w:t>
            </w:r>
            <w:r>
              <w:t xml:space="preserve">(A-D) For each exposure of interest:</w:t>
            </w:r>
            <w:r>
              <w:t xml:space="preserve"> </w:t>
            </w:r>
            <w:r>
              <w:rPr>
                <w:b/>
                <w:bCs/>
              </w:rPr>
              <w:t xml:space="preserve">A.</w:t>
            </w:r>
            <w:r>
              <w:t xml:space="preserve"> </w:t>
            </w:r>
            <w:r>
              <w:t xml:space="preserve">intima-media thickness (IMT);</w:t>
            </w:r>
            <w:r>
              <w:t xml:space="preserve"> </w:t>
            </w:r>
            <w:r>
              <w:rPr>
                <w:b/>
                <w:bCs/>
              </w:rPr>
              <w:t xml:space="preserve">B.</w:t>
            </w:r>
            <w:r>
              <w:t xml:space="preserve"> </w:t>
            </w:r>
            <w:r>
              <w:t xml:space="preserve">carotid distensibility;</w:t>
            </w:r>
            <w:r>
              <w:t xml:space="preserve"> </w:t>
            </w:r>
            <w:r>
              <w:rPr>
                <w:b/>
                <w:bCs/>
              </w:rPr>
              <w:t xml:space="preserve">C.</w:t>
            </w:r>
            <w:r>
              <w:t xml:space="preserve"> </w:t>
            </w:r>
            <w:r>
              <w:t xml:space="preserve">Systolic blood pressure (SBP); and</w:t>
            </w:r>
            <w:r>
              <w:t xml:space="preserve"> </w:t>
            </w:r>
            <w:r>
              <w:rPr>
                <w:b/>
                <w:bCs/>
              </w:rPr>
              <w:t xml:space="preserve">D.</w:t>
            </w:r>
            <w:r>
              <w:t xml:space="preserve"> </w:t>
            </w:r>
            <w:r>
              <w:t xml:space="preserve">Diastolic blood pressure (DBP), the standardized association estimates and their 95% confidence intervals are displayed on the x-axis for each outcome (total brain volume (TBV) in blue; grey matter volume (GMV) in grey; global fractional anisotropy (FA) in red; and mean diffusivity (MD) in orange). The corresponding FDR-corrected P-values are also reported.</w:t>
            </w:r>
          </w:p>
          <w:bookmarkEnd w:id="527"/>
        </w:tc>
      </w:tr>
    </w:tbl>
    <w:p>
      <w:pPr>
        <w:pStyle w:val="BodyText"/>
      </w:pPr>
      <w:r>
        <w:t xml:space="preserve">We found evidence of a non-linear relationship between SBP and white matter microstructure (P=.032 for FA; P=.023 for MD) and between DBP and brain volumes (P=.012 for TBV; P=.006 for GMV). However, these departures from linearity were small, as shown in</w:t>
      </w:r>
      <w:r>
        <w:t xml:space="preserve"> </w:t>
      </w:r>
      <w:hyperlink w:anchor="fig-7.2">
        <w:r>
          <w:rPr>
            <w:rStyle w:val="Hyperlink"/>
          </w:rPr>
          <w:t xml:space="preserve">Figure 7.2</w:t>
        </w:r>
      </w:hyperlink>
      <w:r>
        <w:t xml:space="preserve"> </w:t>
      </w:r>
      <w:r>
        <w:t xml:space="preserve">and</w:t>
      </w:r>
      <w:r>
        <w:t xml:space="preserve"> </w:t>
      </w:r>
      <w:hyperlink r:id="rId514">
        <w:r>
          <w:rPr>
            <w:rStyle w:val="Hyperlink"/>
          </w:rPr>
          <w:t xml:space="preserve">Figure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1" w:name="fig-7.2"/>
          <w:p>
            <w:pPr>
              <w:pStyle w:val="Compact"/>
              <w:jc w:val="center"/>
            </w:pPr>
            <w:r>
              <w:drawing>
                <wp:inline>
                  <wp:extent cx="5943600" cy="5940109"/>
                  <wp:effectExtent b="0" l="0" r="0" t="0"/>
                  <wp:docPr descr="" title="" id="529" name="Picture"/>
                  <a:graphic>
                    <a:graphicData uri="http://schemas.openxmlformats.org/drawingml/2006/picture">
                      <pic:pic>
                        <pic:nvPicPr>
                          <pic:cNvPr descr="7.Chapter/Figures/F2_nonlinres.png" id="530" name="Picture"/>
                          <pic:cNvPicPr>
                            <a:picLocks noChangeArrowheads="1" noChangeAspect="1"/>
                          </pic:cNvPicPr>
                        </pic:nvPicPr>
                        <pic:blipFill>
                          <a:blip r:embed="rId528"/>
                          <a:stretch>
                            <a:fillRect/>
                          </a:stretch>
                        </pic:blipFill>
                        <pic:spPr bwMode="auto">
                          <a:xfrm>
                            <a:off x="0" y="0"/>
                            <a:ext cx="5943600" cy="5940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w:t>
            </w:r>
            <w:r>
              <w:t xml:space="preserve"> </w:t>
            </w:r>
            <w:r>
              <w:rPr>
                <w:b/>
                <w:bCs/>
              </w:rPr>
              <w:t xml:space="preserve">Non-linear relationships between blood pressure and brain morphology at 14 years.</w:t>
            </w:r>
            <w:r>
              <w:t xml:space="preserve">(A-D) The linear and non-linear relationship between SBP and</w:t>
            </w:r>
            <w:r>
              <w:t xml:space="preserve"> </w:t>
            </w:r>
            <w:r>
              <w:rPr>
                <w:b/>
                <w:bCs/>
              </w:rPr>
              <w:t xml:space="preserve">A.</w:t>
            </w:r>
            <w:r>
              <w:t xml:space="preserve"> </w:t>
            </w:r>
            <w:r>
              <w:t xml:space="preserve">FA; and</w:t>
            </w:r>
            <w:r>
              <w:t xml:space="preserve"> </w:t>
            </w:r>
            <w:r>
              <w:rPr>
                <w:b/>
                <w:bCs/>
              </w:rPr>
              <w:t xml:space="preserve">C.</w:t>
            </w:r>
            <w:r>
              <w:t xml:space="preserve"> </w:t>
            </w:r>
            <w:r>
              <w:t xml:space="preserve">MD; and between DBP and</w:t>
            </w:r>
            <w:r>
              <w:t xml:space="preserve"> </w:t>
            </w:r>
            <w:r>
              <w:rPr>
                <w:b/>
                <w:bCs/>
              </w:rPr>
              <w:t xml:space="preserve">B.</w:t>
            </w:r>
            <w:r>
              <w:t xml:space="preserve"> </w:t>
            </w:r>
            <w:r>
              <w:t xml:space="preserve">TBV; and</w:t>
            </w:r>
            <w:r>
              <w:t xml:space="preserve"> </w:t>
            </w:r>
            <w:r>
              <w:rPr>
                <w:b/>
                <w:bCs/>
              </w:rPr>
              <w:t xml:space="preserve">D.</w:t>
            </w:r>
            <w:r>
              <w:t xml:space="preserve"> </w:t>
            </w:r>
            <w:r>
              <w:t xml:space="preserve">GMV. Linear associations (black dashed line) were pooled across datasets (and correspond to the estimates presented in Figure 1), while non-linear associations (green continuous lines) were fit in each imputed dataset individually using natural splines with 4 knots. The gray vertical shadows also mark the –2.5 and +2.5 SD cutoffs of each exposure distribution.</w:t>
            </w:r>
          </w:p>
          <w:bookmarkEnd w:id="531"/>
        </w:tc>
      </w:tr>
    </w:tbl>
    <w:bookmarkEnd w:id="532"/>
    <w:bookmarkStart w:id="537" w:name="exploratory-follow-up-analyses"/>
    <w:p>
      <w:pPr>
        <w:pStyle w:val="Heading3"/>
      </w:pPr>
      <w:r>
        <w:t xml:space="preserve">Exploratory follow-up analyses</w:t>
      </w:r>
    </w:p>
    <w:p>
      <w:pPr>
        <w:pStyle w:val="FirstParagraph"/>
      </w:pPr>
      <w:r>
        <w:t xml:space="preserve">In our exploratory longitudinal models, we did not find any significant interaction between arterial health markers and age at MRI measurement (</w:t>
      </w:r>
      <w:hyperlink r:id="rId514">
        <w:r>
          <w:rPr>
            <w:rStyle w:val="Hyperlink"/>
          </w:rPr>
          <w:t xml:space="preserve">Table S4</w:t>
        </w:r>
      </w:hyperlink>
      <w:r>
        <w:t xml:space="preserve">; Figure 3). However, when interaction terms were excluded from the models, we could further confirm a negative main effect of SBP and DBP on total brain and grey matter volumes measured at 10 and 14 years (</w:t>
      </w:r>
      <w:hyperlink r:id="rId514">
        <w:r>
          <w:rPr>
            <w:rStyle w:val="Hyperlink"/>
          </w:rPr>
          <w:t xml:space="preserve">Table S5</w:t>
        </w:r>
      </w:hyperlink>
      <w:r>
        <w:t xml:space="preserve">). Specifically, while TBV increased with age (</w:t>
      </w:r>
      <w:r>
        <w:rPr>
          <w:i/>
          <w:iCs/>
        </w:rPr>
        <w:t xml:space="preserve">b</w:t>
      </w:r>
      <w:r>
        <w:t xml:space="preserve"> </w:t>
      </w:r>
      <w:r>
        <w:t xml:space="preserve">[95%CI] = 7.0 [6.4; 7.7] cm</w:t>
      </w:r>
      <w:r>
        <w:rPr>
          <w:vertAlign w:val="superscript"/>
        </w:rPr>
        <w:t xml:space="preserve">3</w:t>
      </w:r>
      <w:r>
        <w:t xml:space="preserve"> </w:t>
      </w:r>
      <w:r>
        <w:t xml:space="preserve">per year) each SD increase in SBP was associated with -3.6 [-6.4; -0.8] cm</w:t>
      </w:r>
      <w:r>
        <w:rPr>
          <w:vertAlign w:val="superscript"/>
        </w:rPr>
        <w:t xml:space="preserve">3</w:t>
      </w:r>
      <w:r>
        <w:t xml:space="preserve"> </w:t>
      </w:r>
      <w:r>
        <w:t xml:space="preserve">(P</w:t>
      </w:r>
      <w:r>
        <w:rPr>
          <w:i/>
          <w:iCs/>
          <w:vertAlign w:val="subscript"/>
        </w:rPr>
        <w:t xml:space="preserve">FDR</w:t>
      </w:r>
      <w:r>
        <w:t xml:space="preserve"> </w:t>
      </w:r>
      <w:r>
        <w:t xml:space="preserve">=.048) and each SD increase in DBP was associated with -3.4 [-6.1; -0.7] cm</w:t>
      </w:r>
      <w:r>
        <w:rPr>
          <w:vertAlign w:val="superscript"/>
        </w:rPr>
        <w:t xml:space="preserve">3</w:t>
      </w:r>
      <w:r>
        <w:t xml:space="preserve"> </w:t>
      </w:r>
      <w:r>
        <w:t xml:space="preserve">(P</w:t>
      </w:r>
      <w:r>
        <w:rPr>
          <w:i/>
          <w:iCs/>
          <w:vertAlign w:val="subscript"/>
        </w:rPr>
        <w:t xml:space="preserve">FDR</w:t>
      </w:r>
      <w:r>
        <w:t xml:space="preserve"> </w:t>
      </w:r>
      <w:r>
        <w:t xml:space="preserve">=.040) TBV. Conversely, GMV showed a slight decline over our age range (</w:t>
      </w:r>
      <w:r>
        <w:rPr>
          <w:i/>
          <w:iCs/>
        </w:rPr>
        <w:t xml:space="preserve">b</w:t>
      </w:r>
      <w:r>
        <w:t xml:space="preserve"> </w:t>
      </w:r>
      <w:r>
        <w:t xml:space="preserve">[95%CI] = -0.6 [-1.0; -0.2] cm</w:t>
      </w:r>
      <w:r>
        <w:rPr>
          <w:vertAlign w:val="superscript"/>
        </w:rPr>
        <w:t xml:space="preserve">3</w:t>
      </w:r>
      <w:r>
        <w:t xml:space="preserve"> </w:t>
      </w:r>
      <w:r>
        <w:t xml:space="preserve">per year) while each SD increase in SBP was associated with -2.4 [-4.1; -0.7] cm</w:t>
      </w:r>
      <w:r>
        <w:rPr>
          <w:vertAlign w:val="superscript"/>
        </w:rPr>
        <w:t xml:space="preserve">3</w:t>
      </w:r>
      <w:r>
        <w:t xml:space="preserve"> </w:t>
      </w:r>
      <w:r>
        <w:t xml:space="preserve">(P</w:t>
      </w:r>
      <w:r>
        <w:rPr>
          <w:i/>
          <w:iCs/>
          <w:vertAlign w:val="subscript"/>
        </w:rPr>
        <w:t xml:space="preserve">FDR</w:t>
      </w:r>
      <w:r>
        <w:t xml:space="preserve"> </w:t>
      </w:r>
      <w:r>
        <w:t xml:space="preserve">=.042) and each SD increase in DBP was associated with -2.2 [-3.8; -0.6] cm</w:t>
      </w:r>
      <w:r>
        <w:rPr>
          <w:vertAlign w:val="superscript"/>
        </w:rPr>
        <w:t xml:space="preserve">3</w:t>
      </w:r>
      <w:r>
        <w:t xml:space="preserve"> </w:t>
      </w:r>
      <w:r>
        <w:t xml:space="preserve">(P</w:t>
      </w:r>
      <w:r>
        <w:rPr>
          <w:i/>
          <w:iCs/>
          <w:vertAlign w:val="subscript"/>
        </w:rPr>
        <w:t xml:space="preserve">FDR</w:t>
      </w:r>
      <w:r>
        <w:t xml:space="preserve"> </w:t>
      </w:r>
      <w:r>
        <w:t xml:space="preserve">=.039) GMV.</w:t>
      </w:r>
    </w:p>
    <w:tbl>
      <w:tblPr>
        <w:tblStyle w:val="Table"/>
        <w:tblW w:type="pct" w:w="5000"/>
        <w:tblLayout w:type="fixed"/>
        <w:tblLook w:firstRow="0" w:lastRow="0" w:firstColumn="0" w:lastColumn="0" w:noHBand="0" w:noVBand="0" w:val="0000"/>
      </w:tblPr>
      <w:tblGrid>
        <w:gridCol w:w="7920"/>
      </w:tblGrid>
      <w:tr>
        <w:tc>
          <w:tcPr/>
          <w:bookmarkStart w:id="536" w:name="fig-7.3"/>
          <w:p>
            <w:pPr>
              <w:pStyle w:val="Compact"/>
              <w:jc w:val="center"/>
            </w:pPr>
            <w:r>
              <w:drawing>
                <wp:inline>
                  <wp:extent cx="5943600" cy="6116460"/>
                  <wp:effectExtent b="0" l="0" r="0" t="0"/>
                  <wp:docPr descr="" title="" id="534" name="Picture"/>
                  <a:graphic>
                    <a:graphicData uri="http://schemas.openxmlformats.org/drawingml/2006/picture">
                      <pic:pic>
                        <pic:nvPicPr>
                          <pic:cNvPr descr="7.Chapter/Figures/F3_lmmres.png" id="535" name="Picture"/>
                          <pic:cNvPicPr>
                            <a:picLocks noChangeArrowheads="1" noChangeAspect="1"/>
                          </pic:cNvPicPr>
                        </pic:nvPicPr>
                        <pic:blipFill>
                          <a:blip r:embed="rId533"/>
                          <a:stretch>
                            <a:fillRect/>
                          </a:stretch>
                        </pic:blipFill>
                        <pic:spPr bwMode="auto">
                          <a:xfrm>
                            <a:off x="0" y="0"/>
                            <a:ext cx="5943600" cy="61164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w:t>
            </w:r>
            <w:r>
              <w:t xml:space="preserve"> </w:t>
            </w:r>
            <w:r>
              <w:rPr>
                <w:b/>
                <w:bCs/>
              </w:rPr>
              <w:t xml:space="preserve">Structural brain changes from 10 to 14 years.</w:t>
            </w:r>
            <w:r>
              <w:t xml:space="preserve">(A-D) The longitudinal change in total brain (A, B) and grey matter volume (C, D) is represented for children with</w:t>
            </w:r>
            <w:r>
              <w:t xml:space="preserve"> </w:t>
            </w:r>
            <w:r>
              <w:t xml:space="preserve">“high”</w:t>
            </w:r>
            <w:r>
              <w:t xml:space="preserve"> </w:t>
            </w:r>
            <w:r>
              <w:t xml:space="preserve">levels of exposure (i.e., &gt; 1 SD above the mean in systolic or diastolic blood pressure; in red), exposure values in the intermediate rage (i.e., between –1 and 1 SD around the mean; in green) or low levels of the exposure (i.e., &lt; –1 SD below the mean; in blue). The distribution of age at MRI measurement is also depicted in grey on the bottom of each graph.</w:t>
            </w:r>
          </w:p>
          <w:bookmarkEnd w:id="536"/>
        </w:tc>
      </w:tr>
    </w:tbl>
    <w:p>
      <w:pPr>
        <w:pStyle w:val="BodyText"/>
      </w:pPr>
      <w:r>
        <w:t xml:space="preserve">Associations were largely homogenous between sexes (</w:t>
      </w:r>
      <w:hyperlink r:id="rId514">
        <w:r>
          <w:rPr>
            <w:rStyle w:val="Hyperlink"/>
          </w:rPr>
          <w:t xml:space="preserve">Figure S4</w:t>
        </w:r>
      </w:hyperlink>
      <w:r>
        <w:t xml:space="preserve">,</w:t>
      </w:r>
      <w:r>
        <w:t xml:space="preserve"> </w:t>
      </w:r>
      <w:hyperlink r:id="rId514">
        <w:r>
          <w:rPr>
            <w:rStyle w:val="Hyperlink"/>
          </w:rPr>
          <w:t xml:space="preserve">Table S6</w:t>
        </w:r>
      </w:hyperlink>
      <w:r>
        <w:t xml:space="preserve">) and did not seem to be explained by differences in cranium size, nor by a significant increase in cerebro-spinal fluid volumes (</w:t>
      </w:r>
      <w:hyperlink r:id="rId514">
        <w:r>
          <w:rPr>
            <w:rStyle w:val="Hyperlink"/>
          </w:rPr>
          <w:t xml:space="preserve">Figure S5</w:t>
        </w:r>
      </w:hyperlink>
      <w:r>
        <w:t xml:space="preserve">,</w:t>
      </w:r>
      <w:r>
        <w:t xml:space="preserve"> </w:t>
      </w:r>
      <w:hyperlink r:id="rId514">
        <w:r>
          <w:rPr>
            <w:rStyle w:val="Hyperlink"/>
          </w:rPr>
          <w:t xml:space="preserve">Table S7</w:t>
        </w:r>
      </w:hyperlink>
      <w:r>
        <w:t xml:space="preserve">). There were no significant associations between either exposure and total or region-specific subcortical volumes (</w:t>
      </w:r>
      <w:hyperlink r:id="rId514">
        <w:r>
          <w:rPr>
            <w:rStyle w:val="Hyperlink"/>
          </w:rPr>
          <w:t xml:space="preserve">Figure S5</w:t>
        </w:r>
      </w:hyperlink>
      <w:r>
        <w:t xml:space="preserve">,</w:t>
      </w:r>
      <w:r>
        <w:t xml:space="preserve"> </w:t>
      </w:r>
      <w:hyperlink r:id="rId514">
        <w:r>
          <w:rPr>
            <w:rStyle w:val="Hyperlink"/>
          </w:rPr>
          <w:t xml:space="preserve">Table S8</w:t>
        </w:r>
      </w:hyperlink>
      <w:r>
        <w:t xml:space="preserve">) nor with white matter tracts FA and MD (</w:t>
      </w:r>
      <w:hyperlink r:id="rId514">
        <w:r>
          <w:rPr>
            <w:rStyle w:val="Hyperlink"/>
          </w:rPr>
          <w:t xml:space="preserve">Figures S6-S7</w:t>
        </w:r>
      </w:hyperlink>
      <w:r>
        <w:t xml:space="preserve">,</w:t>
      </w:r>
      <w:r>
        <w:t xml:space="preserve"> </w:t>
      </w:r>
      <w:hyperlink r:id="rId514">
        <w:r>
          <w:rPr>
            <w:rStyle w:val="Hyperlink"/>
          </w:rPr>
          <w:t xml:space="preserve">Tables S9-S10</w:t>
        </w:r>
      </w:hyperlink>
      <w:r>
        <w:t xml:space="preserve">). SBP was significantly associated with total cortical volume (β [95%CI] = -0.05 [-0.08;-0.01], P</w:t>
      </w:r>
      <w:r>
        <w:rPr>
          <w:i/>
          <w:iCs/>
          <w:vertAlign w:val="subscript"/>
        </w:rPr>
        <w:t xml:space="preserve">FDR</w:t>
      </w:r>
      <w:r>
        <w:t xml:space="preserve"> </w:t>
      </w:r>
      <w:r>
        <w:t xml:space="preserve">= .036; see</w:t>
      </w:r>
      <w:r>
        <w:t xml:space="preserve"> </w:t>
      </w:r>
      <w:hyperlink r:id="rId514">
        <w:r>
          <w:rPr>
            <w:rStyle w:val="Hyperlink"/>
          </w:rPr>
          <w:t xml:space="preserve">Figure S5</w:t>
        </w:r>
      </w:hyperlink>
      <w:r>
        <w:t xml:space="preserve"> </w:t>
      </w:r>
      <w:r>
        <w:t xml:space="preserve">and</w:t>
      </w:r>
      <w:r>
        <w:t xml:space="preserve"> </w:t>
      </w:r>
      <w:hyperlink r:id="rId514">
        <w:r>
          <w:rPr>
            <w:rStyle w:val="Hyperlink"/>
          </w:rPr>
          <w:t xml:space="preserve">Table S7</w:t>
        </w:r>
      </w:hyperlink>
      <w:r>
        <w:t xml:space="preserve">), but no local associations with cortical thickness emerged from the vertex-wise analyses (</w:t>
      </w:r>
      <w:hyperlink r:id="rId514">
        <w:r>
          <w:rPr>
            <w:rStyle w:val="Hyperlink"/>
          </w:rPr>
          <w:t xml:space="preserve">Table S11</w:t>
        </w:r>
      </w:hyperlink>
      <w:r>
        <w:t xml:space="preserve">).</w:t>
      </w:r>
    </w:p>
    <w:p>
      <w:pPr>
        <w:pStyle w:val="BodyText"/>
      </w:pPr>
      <w:r>
        <w:t xml:space="preserve">Notably, the associations between SBP and total/grey matter volumes were significantly attenuated after adjusting for birth-related covariates (TBV: β [95%CI] = -0.03 [-0.06; 0.01], P</w:t>
      </w:r>
      <w:r>
        <w:rPr>
          <w:i/>
          <w:iCs/>
          <w:vertAlign w:val="subscript"/>
        </w:rPr>
        <w:t xml:space="preserve">FDR</w:t>
      </w:r>
      <w:r>
        <w:t xml:space="preserve"> </w:t>
      </w:r>
      <w:r>
        <w:t xml:space="preserve">= .230; GMV: β [95%CI] = -0.03 [-0.06; 0.00], P</w:t>
      </w:r>
      <w:r>
        <w:rPr>
          <w:i/>
          <w:iCs/>
          <w:vertAlign w:val="subscript"/>
        </w:rPr>
        <w:t xml:space="preserve">FDR</w:t>
      </w:r>
      <w:r>
        <w:t xml:space="preserve"> </w:t>
      </w:r>
      <w:r>
        <w:t xml:space="preserve">= .229; see</w:t>
      </w:r>
      <w:r>
        <w:t xml:space="preserve"> </w:t>
      </w:r>
      <w:hyperlink r:id="rId514">
        <w:r>
          <w:rPr>
            <w:rStyle w:val="Hyperlink"/>
          </w:rPr>
          <w:t xml:space="preserve">Table S12</w:t>
        </w:r>
      </w:hyperlink>
      <w:r>
        <w:t xml:space="preserve">).</w:t>
      </w:r>
    </w:p>
    <w:bookmarkEnd w:id="537"/>
    <w:bookmarkStart w:id="538" w:name="sensitivity-analyses-1"/>
    <w:p>
      <w:pPr>
        <w:pStyle w:val="Heading3"/>
      </w:pPr>
      <w:r>
        <w:t xml:space="preserve">Sensitivity analyses</w:t>
      </w:r>
    </w:p>
    <w:p>
      <w:pPr>
        <w:pStyle w:val="FirstParagraph"/>
      </w:pPr>
      <w:r>
        <w:t xml:space="preserve">Restricting the analyses to participants with complete outcome data (</w:t>
      </w:r>
      <w:r>
        <w:rPr>
          <w:i/>
          <w:iCs/>
        </w:rPr>
        <w:t xml:space="preserve">n</w:t>
      </w:r>
      <w:r>
        <w:t xml:space="preserve"> </w:t>
      </w:r>
      <w:r>
        <w:t xml:space="preserve">= 2054 for structural MRI and 2308 for DTI) did not substantively change the reported findings, besides a slight increase in effect sizes for both SBP (TBV: β [95%CI] = -0.05 [-0.09;-0.01], P</w:t>
      </w:r>
      <w:r>
        <w:rPr>
          <w:i/>
          <w:iCs/>
          <w:vertAlign w:val="subscript"/>
        </w:rPr>
        <w:t xml:space="preserve">FDR</w:t>
      </w:r>
      <w:r>
        <w:t xml:space="preserve"> </w:t>
      </w:r>
      <w:r>
        <w:t xml:space="preserve">= .016; GMV: β [95%CI] = -0.06 [-0.09;-0.02], P</w:t>
      </w:r>
      <w:r>
        <w:rPr>
          <w:i/>
          <w:iCs/>
          <w:vertAlign w:val="subscript"/>
        </w:rPr>
        <w:t xml:space="preserve">FDR</w:t>
      </w:r>
      <w:r>
        <w:t xml:space="preserve"> </w:t>
      </w:r>
      <w:r>
        <w:t xml:space="preserve">= .013) and DBP (TBV and GMV: β [95%CI] = -0.05 [-0.09;-0.02], P</w:t>
      </w:r>
      <w:r>
        <w:rPr>
          <w:i/>
          <w:iCs/>
          <w:vertAlign w:val="subscript"/>
        </w:rPr>
        <w:t xml:space="preserve">FDR</w:t>
      </w:r>
      <w:r>
        <w:t xml:space="preserve"> </w:t>
      </w:r>
      <w:r>
        <w:t xml:space="preserve">= .012; see</w:t>
      </w:r>
      <w:r>
        <w:t xml:space="preserve"> </w:t>
      </w:r>
      <w:hyperlink r:id="rId514">
        <w:r>
          <w:rPr>
            <w:rStyle w:val="Hyperlink"/>
          </w:rPr>
          <w:t xml:space="preserve">Tables S13-S14</w:t>
        </w:r>
      </w:hyperlink>
      <w:r>
        <w:t xml:space="preserve">).</w:t>
      </w:r>
    </w:p>
    <w:bookmarkEnd w:id="538"/>
    <w:bookmarkEnd w:id="539"/>
    <w:bookmarkStart w:id="545" w:name="discussion-5"/>
    <w:p>
      <w:pPr>
        <w:pStyle w:val="Heading2"/>
      </w:pPr>
      <w:r>
        <w:t xml:space="preserve">7.4 Discussion</w:t>
      </w:r>
    </w:p>
    <w:p>
      <w:pPr>
        <w:pStyle w:val="FirstParagraph"/>
      </w:pPr>
      <w:r>
        <w:t xml:space="preserve">In this population-based prospective cohort study, we observed that systolic and diastolic blood pressure at age 10 years were associated with lower total and grey matter volumes at age 10 and 14 years. The associations between systolic blood pressure and brain volumes were partially explained by birth-related confounders (particularly birthweight). No significant associations were observed for carotid intima-media thickness or distensibility, nor for white matter microstructural markers.</w:t>
      </w:r>
    </w:p>
    <w:bookmarkStart w:id="540" w:name="interpretation-of-main-findings"/>
    <w:p>
      <w:pPr>
        <w:pStyle w:val="Heading3"/>
      </w:pPr>
      <w:r>
        <w:t xml:space="preserve">Interpretation of main findings</w:t>
      </w:r>
    </w:p>
    <w:p>
      <w:pPr>
        <w:pStyle w:val="FirstParagraph"/>
      </w:pPr>
      <w:r>
        <w:t xml:space="preserve">To the best of our knowledge, this is the first study to establish a link between high blood pressure and brain volume reduction in the general pediatric population. 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We could not find evidence for a significant role of arterial wall thickness or stiffness on the adolescent brain, as we had expected based on adult reports</w:t>
      </w:r>
      <w:r>
        <w:t xml:space="preserve"> </w:t>
      </w:r>
      <w:r>
        <w:t xml:space="preserve">(Cermakova et al., 2020; Maillard et al., 2016)</w:t>
      </w:r>
      <w:r>
        <w:t xml:space="preserve">. This might have been due to insufficient sensitivity of ultrasound measures and/or lack of variability in these markers in healthy pediatric population.</w:t>
      </w:r>
    </w:p>
    <w:p>
      <w:pPr>
        <w:pStyle w:val="BodyText"/>
      </w:pPr>
      <w:r>
        <w:t xml:space="preserve">In line with our findings, several previous studies reported a negative association between (diastolic) blood pressure and cognitive function in children and adolescents</w:t>
      </w:r>
      <w:r>
        <w:t xml:space="preserve"> </w:t>
      </w:r>
      <w:r>
        <w:t xml:space="preserve">(Dawson et al., 2021; Lamballais et al., 2018; Lande &amp; Kupferman, 2019; Lucas et al., 2022)</w:t>
      </w:r>
      <w:r>
        <w:t xml:space="preserve">. The biological substrate underlying these associations, however, is less studied. Interestingly, a few transcranial Doppler ultrasound studies demonstrated blunted cerebrovascular reactivity in hypertensive children</w:t>
      </w:r>
      <w:r>
        <w:t xml:space="preserve"> </w:t>
      </w:r>
      <w:r>
        <w:t xml:space="preserve">(Lande &amp; Kupferman, 2019; Wong et al., 2011)</w:t>
      </w:r>
      <w:r>
        <w:t xml:space="preserve">, however, these were conducted in small samples and suffer from wide inter-observer measurement variability. We corroborated and extended these findings using more stable structural MRI markers, and found that morphological brain outcomes (volumetric measures) may be already sensitive to early increase in arterial blood pressure. This was not true for microstructural properties of the white matter, which was unexpected, as adult studies typically point to impaired white matter integrity as an early marker of neurovascular pathology</w:t>
      </w:r>
      <w:r>
        <w:t xml:space="preserve"> </w:t>
      </w:r>
      <w:r>
        <w:t xml:space="preserve">(Maillard et al., 2012)</w:t>
      </w:r>
      <w:r>
        <w:t xml:space="preserve">. However, it is important to note that both macroscopic and microstructural changes reported in older populations may reflect different processes (e.g., cellular atrophy and white matter lesions) compared to earlier developmental windows, where the same neuroimaging markers may underlie, for instance, grey and white matter maturation. Indeed, while grey matter maturation tends to peak already in early adolescence, white matter growth typically doesn’t peak until mid-adulthood, which could partly explain the observed pattern of results</w:t>
      </w:r>
      <w:r>
        <w:t xml:space="preserve"> </w:t>
      </w:r>
      <w:r>
        <w:t xml:space="preserve">(Groeschel et al., 2010)</w:t>
      </w:r>
      <w:r>
        <w:t xml:space="preserve">.</w:t>
      </w:r>
    </w:p>
    <w:bookmarkEnd w:id="540"/>
    <w:bookmarkStart w:id="541" w:name="biological-mechanisms"/>
    <w:p>
      <w:pPr>
        <w:pStyle w:val="Heading3"/>
      </w:pPr>
      <w:r>
        <w:t xml:space="preserve">Biological mechanisms</w:t>
      </w:r>
    </w:p>
    <w:p>
      <w:pPr>
        <w:pStyle w:val="FirstParagraph"/>
      </w:pPr>
      <w:r>
        <w:t xml:space="preserve">Several potential mechanisms could explain the reported associations. For example, it was been proposed that high blood pressure could cause damage to the neurovasculature and result in reduced cerebral blood perfusion, leading to suboptimal oxygen and nutritional supplies, and potentially altering ongoing neurodevelopmental processes</w:t>
      </w:r>
      <w:r>
        <w:t xml:space="preserve"> </w:t>
      </w:r>
      <w:r>
        <w:t xml:space="preserve">(Lucas et al., 2022)</w:t>
      </w:r>
      <w:r>
        <w:t xml:space="preserve">. Additionally, alterations in immune and hypothalamic-pituitary-adrenal axis functioning resulting from chronically high blood pressure could trigger neuroinflammation, further impairing brain development</w:t>
      </w:r>
      <w:r>
        <w:t xml:space="preserve"> </w:t>
      </w:r>
      <w:r>
        <w:t xml:space="preserve">(Perrotta et al., 2018)</w:t>
      </w:r>
      <w:r>
        <w:t xml:space="preserve">.</w:t>
      </w:r>
    </w:p>
    <w:bookmarkEnd w:id="541"/>
    <w:bookmarkStart w:id="542" w:name="clinical-relevance"/>
    <w:p>
      <w:pPr>
        <w:pStyle w:val="Heading3"/>
      </w:pPr>
      <w:r>
        <w:t xml:space="preserve">Clinical relevance</w:t>
      </w:r>
    </w:p>
    <w:p>
      <w:pPr>
        <w:pStyle w:val="FirstParagraph"/>
      </w:pPr>
      <w:r>
        <w:t xml:space="preserve">Over the past decades, the prevalence of high blood pressure among children and adolescents has increased dramatically, in concert with the global epidemic of obesity</w:t>
      </w:r>
      <w:r>
        <w:t xml:space="preserve"> </w:t>
      </w:r>
      <w:r>
        <w:t xml:space="preserve">(Riley et al., 2018)</w:t>
      </w:r>
      <w:r>
        <w:t xml:space="preserve">. Elevated blood pressure in childhood is known to track into adulthood and increase the risk of cardiovascular disease</w:t>
      </w:r>
      <w:r>
        <w:t xml:space="preserve"> </w:t>
      </w:r>
      <w:r>
        <w:t xml:space="preserve">(Yang et al., 2020)</w:t>
      </w:r>
      <w:r>
        <w:t xml:space="preserve">. In our 10-year-old sample, each 6 mmHg increase in diastolic blood pressure (i.e., 1 SD) was followed by a 3.6 cm</w:t>
      </w:r>
      <w:r>
        <w:rPr>
          <w:vertAlign w:val="superscript"/>
        </w:rPr>
        <w:t xml:space="preserve">3</w:t>
      </w:r>
      <w:r>
        <w:t xml:space="preserve"> </w:t>
      </w:r>
      <w:r>
        <w:t xml:space="preserve">reduction in total brain volume, and a 2.3 cm</w:t>
      </w:r>
      <w:r>
        <w:rPr>
          <w:vertAlign w:val="superscript"/>
        </w:rPr>
        <w:t xml:space="preserve">3</w:t>
      </w:r>
      <w:r>
        <w:t xml:space="preserve"> </w:t>
      </w:r>
      <w:r>
        <w:t xml:space="preserve">reduction in grey matter volume four years later. In our longitudinal follow-up analysis, we could further show how this corresponded to about one third of the estimated yearly change in TBV. These results are important from a developmental perspective, since they suggest that early detection and prevention of elevated blood pressure may be relevant not only for long-term cardiovascular health but also for structural brain development. However, whether these associations are clinically relevant (e.g., in terms of cognitive performance or mental health symptomatology) or whether they will evolve into long-term alteration of brain health, needs to be further studied. Nevertheless, pediatric screening for high blood pressure may be a relatively easy measure to implement to monitor and potentially decrease the risk of future brain disease and cognitive impairment.</w:t>
      </w:r>
    </w:p>
    <w:bookmarkEnd w:id="542"/>
    <w:bookmarkStart w:id="543" w:name="strengths-and-limitations"/>
    <w:p>
      <w:pPr>
        <w:pStyle w:val="Heading3"/>
      </w:pPr>
      <w:r>
        <w:t xml:space="preserve">Strengths and limitations</w:t>
      </w:r>
    </w:p>
    <w:p>
      <w:pPr>
        <w:pStyle w:val="FirstParagraph"/>
      </w:pPr>
      <w:r>
        <w:t xml:space="preserve">This study used prospectively measured data from a large population-based sample. Detailed and objective measures of both arterial and brain health were available and selection bias due to non-response was addressed thoroughly using multiple imputation and sensitivity analyses. However, it is important to note that, although we adjusted the analyses for several socio-demographic and lifestyle factors known to influence the associations, residual confounding, for example by genetic predisposition, exposure to stress, nutritional intake or physical activity, may still be present. Additionally, note that, for practical reasons, blood pressure was measured in supine position in this study, as opposed to more conventional sitting measures. Further studies are undoubtedly needed to replicate and validate these findings, and to further investigate potential underlying mechanisms and/or modifiable factors that could explain or attenuate these associations.</w:t>
      </w:r>
    </w:p>
    <w:bookmarkEnd w:id="543"/>
    <w:bookmarkStart w:id="544" w:name="conclusions-1"/>
    <w:p>
      <w:pPr>
        <w:pStyle w:val="Heading3"/>
      </w:pPr>
      <w:r>
        <w:t xml:space="preserve">Conclusions</w:t>
      </w:r>
    </w:p>
    <w:p>
      <w:pPr>
        <w:pStyle w:val="FirstParagraph"/>
      </w:pPr>
      <w:r>
        <w:t xml:space="preserve">High blood pressure in childhood was associated with suboptimal brain development already in early adolescence, particularly with respect to reduced total brain and grey matter volumes. Pediatric screening for high blood pressure may thus be relevant not only for the prevention of long-term cardiovascular health problems, but also for structural brain development. Identifying such early biomarkers of neurovascular health entails important implications for future clinical and public heath priorities, especially considering the established relationship between these markers and later prognosis of cerebrovascular disease and dementia.</w:t>
      </w:r>
    </w:p>
    <w:bookmarkEnd w:id="544"/>
    <w:bookmarkEnd w:id="545"/>
    <w:bookmarkStart w:id="618" w:name="references-6"/>
    <w:p>
      <w:pPr>
        <w:pStyle w:val="Heading2"/>
      </w:pPr>
      <w:r>
        <w:t xml:space="preserve">References</w:t>
      </w:r>
    </w:p>
    <w:bookmarkStart w:id="617" w:name="refs--7"/>
    <w:bookmarkStart w:id="546" w:name="ref-AlHazzouri2015"/>
    <w:p>
      <w:pPr>
        <w:pStyle w:val="FirstParagraph"/>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546"/>
    <w:bookmarkStart w:id="548" w:name="ref-Alateeq2022"/>
    <w:p>
      <w:pPr>
        <w:pStyle w:val="BodyText"/>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47">
        <w:r>
          <w:rPr>
            <w:rStyle w:val="Hyperlink"/>
          </w:rPr>
          <w:t xml:space="preserve">https://doi.org/10.3390/jcm11113127</w:t>
        </w:r>
      </w:hyperlink>
    </w:p>
    <w:bookmarkEnd w:id="548"/>
    <w:bookmarkStart w:id="550" w:name="ref-Badji2019"/>
    <w:p>
      <w:pPr>
        <w:pStyle w:val="BodyText"/>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49">
        <w:r>
          <w:rPr>
            <w:rStyle w:val="Hyperlink"/>
          </w:rPr>
          <w:t xml:space="preserve">https://doi.org/10.1016/j.arr.2019.05.001</w:t>
        </w:r>
      </w:hyperlink>
    </w:p>
    <w:bookmarkEnd w:id="550"/>
    <w:bookmarkStart w:id="552" w:name="ref-Baradaran2020"/>
    <w:p>
      <w:pPr>
        <w:pStyle w:val="BodyText"/>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51">
        <w:r>
          <w:rPr>
            <w:rStyle w:val="Hyperlink"/>
          </w:rPr>
          <w:t xml:space="preserve">https://doi.org/10.21037/atm-20-1939</w:t>
        </w:r>
      </w:hyperlink>
    </w:p>
    <w:bookmarkEnd w:id="552"/>
    <w:bookmarkStart w:id="554" w:name="ref-Bates2015"/>
    <w:p>
      <w:pPr>
        <w:pStyle w:val="BodyText"/>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53">
        <w:r>
          <w:rPr>
            <w:rStyle w:val="Hyperlink"/>
          </w:rPr>
          <w:t xml:space="preserve">https://doi.org/10.18637/jss.v067.i01</w:t>
        </w:r>
      </w:hyperlink>
    </w:p>
    <w:bookmarkEnd w:id="554"/>
    <w:bookmarkStart w:id="556" w:name="ref-Beauchet2013"/>
    <w:p>
      <w:pPr>
        <w:pStyle w:val="BodyText"/>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555">
        <w:r>
          <w:rPr>
            <w:rStyle w:val="Hyperlink"/>
          </w:rPr>
          <w:t xml:space="preserve">https://doi.org/10.1097/HJH.0b013e32836184b5</w:t>
        </w:r>
      </w:hyperlink>
    </w:p>
    <w:bookmarkEnd w:id="556"/>
    <w:bookmarkStart w:id="557" w:name="ref-Benjamini2001"/>
    <w:p>
      <w:pPr>
        <w:pStyle w:val="BodyText"/>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557"/>
    <w:bookmarkStart w:id="558" w:name="ref-BrainDev2012"/>
    <w:p>
      <w:pPr>
        <w:pStyle w:val="BodyText"/>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558"/>
    <w:bookmarkStart w:id="559"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559"/>
    <w:bookmarkStart w:id="561" w:name="ref-Cermakova2020"/>
    <w:p>
      <w:pPr>
        <w:pStyle w:val="BodyText"/>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560">
        <w:r>
          <w:rPr>
            <w:rStyle w:val="Hyperlink"/>
          </w:rPr>
          <w:t xml:space="preserve">https://doi.org/10.1093/gerona/glz039</w:t>
        </w:r>
      </w:hyperlink>
    </w:p>
    <w:bookmarkEnd w:id="561"/>
    <w:bookmarkStart w:id="563" w:name="ref-Dawson2021"/>
    <w:p>
      <w:pPr>
        <w:pStyle w:val="BodyText"/>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562">
        <w:r>
          <w:rPr>
            <w:rStyle w:val="Hyperlink"/>
          </w:rPr>
          <w:t xml:space="preserve">https://doi.org/10.1007/s00467-021-05077-w</w:t>
        </w:r>
      </w:hyperlink>
    </w:p>
    <w:bookmarkEnd w:id="563"/>
    <w:bookmarkStart w:id="564" w:name="ref-DeGroot2013"/>
    <w:p>
      <w:pPr>
        <w:pStyle w:val="BodyText"/>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564"/>
    <w:bookmarkStart w:id="566" w:name="ref-Fischl2012"/>
    <w:p>
      <w:pPr>
        <w:pStyle w:val="BodyText"/>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565">
        <w:r>
          <w:rPr>
            <w:rStyle w:val="Hyperlink"/>
          </w:rPr>
          <w:t xml:space="preserve">https://doi.org/10.1016/j.neuroimage.2012.01.021</w:t>
        </w:r>
      </w:hyperlink>
    </w:p>
    <w:bookmarkEnd w:id="566"/>
    <w:bookmarkStart w:id="567"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567"/>
    <w:bookmarkStart w:id="569" w:name="ref-Groeschel2010"/>
    <w:p>
      <w:pPr>
        <w:pStyle w:val="BodyText"/>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568">
        <w:r>
          <w:rPr>
            <w:rStyle w:val="Hyperlink"/>
          </w:rPr>
          <w:t xml:space="preserve">https://doi.org/10.1016/j.ijdevneu.2010.06.004</w:t>
        </w:r>
      </w:hyperlink>
    </w:p>
    <w:bookmarkEnd w:id="569"/>
    <w:bookmarkStart w:id="571" w:name="ref-Hu2022"/>
    <w:p>
      <w:pPr>
        <w:pStyle w:val="BodyText"/>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570">
        <w:r>
          <w:rPr>
            <w:rStyle w:val="Hyperlink"/>
          </w:rPr>
          <w:t xml:space="preserve">https://doi.org/10.1001/jamanetworkopen.2022.1175</w:t>
        </w:r>
      </w:hyperlink>
    </w:p>
    <w:bookmarkEnd w:id="571"/>
    <w:bookmarkStart w:id="572"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572"/>
    <w:bookmarkStart w:id="574" w:name="ref-Kruger2021"/>
    <w:p>
      <w:pPr>
        <w:pStyle w:val="BodyText"/>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573">
        <w:r>
          <w:rPr>
            <w:rStyle w:val="Hyperlink"/>
          </w:rPr>
          <w:t xml:space="preserve">https://doi.org/10.1007/s00467-020-04593-5</w:t>
        </w:r>
      </w:hyperlink>
    </w:p>
    <w:bookmarkEnd w:id="574"/>
    <w:bookmarkStart w:id="576" w:name="ref-Lamballais2018"/>
    <w:p>
      <w:pPr>
        <w:pStyle w:val="BodyText"/>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575">
        <w:r>
          <w:rPr>
            <w:rStyle w:val="Hyperlink"/>
          </w:rPr>
          <w:t xml:space="preserve">https://doi.org/doi:10.1161/JAHA.118.009847</w:t>
        </w:r>
      </w:hyperlink>
    </w:p>
    <w:bookmarkEnd w:id="576"/>
    <w:bookmarkStart w:id="578" w:name="ref-Lande2019"/>
    <w:p>
      <w:pPr>
        <w:pStyle w:val="BodyText"/>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577">
        <w:r>
          <w:rPr>
            <w:rStyle w:val="Hyperlink"/>
          </w:rPr>
          <w:t xml:space="preserve">https://doi.org/doi:10.1161/HYPERTENSIONAHA.118.11686</w:t>
        </w:r>
      </w:hyperlink>
    </w:p>
    <w:bookmarkEnd w:id="578"/>
    <w:bookmarkStart w:id="579" w:name="ref-Launer2015"/>
    <w:p>
      <w:pPr>
        <w:pStyle w:val="BodyText"/>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579"/>
    <w:bookmarkStart w:id="581" w:name="ref-Lucas2022"/>
    <w:p>
      <w:pPr>
        <w:pStyle w:val="BodyText"/>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580">
        <w:r>
          <w:rPr>
            <w:rStyle w:val="Hyperlink"/>
          </w:rPr>
          <w:t xml:space="preserve">https://doi.org/10.3389/fcvm.2022.973793</w:t>
        </w:r>
      </w:hyperlink>
    </w:p>
    <w:bookmarkEnd w:id="581"/>
    <w:bookmarkStart w:id="582" w:name="ref-Maillard2017"/>
    <w:p>
      <w:pPr>
        <w:pStyle w:val="BodyText"/>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582"/>
    <w:bookmarkStart w:id="583" w:name="ref-Maillard2016"/>
    <w:p>
      <w:pPr>
        <w:pStyle w:val="BodyText"/>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583"/>
    <w:bookmarkStart w:id="584" w:name="ref-Maillard2012"/>
    <w:p>
      <w:pPr>
        <w:pStyle w:val="BodyText"/>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584"/>
    <w:bookmarkStart w:id="586" w:name="ref-Muetzel2018"/>
    <w:p>
      <w:pPr>
        <w:pStyle w:val="BodyText"/>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585">
        <w:r>
          <w:rPr>
            <w:rStyle w:val="Hyperlink"/>
          </w:rPr>
          <w:t xml:space="preserve">https://doi.org/10.1176/appi.ajp.2017.16070813</w:t>
        </w:r>
      </w:hyperlink>
    </w:p>
    <w:bookmarkEnd w:id="586"/>
    <w:bookmarkStart w:id="588" w:name="ref-Muetzel2019"/>
    <w:p>
      <w:pPr>
        <w:pStyle w:val="BodyText"/>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587">
        <w:r>
          <w:rPr>
            <w:rStyle w:val="Hyperlink"/>
          </w:rPr>
          <w:t xml:space="preserve">https://doi.org/10.3389/fpsyt.2019.00696</w:t>
        </w:r>
      </w:hyperlink>
    </w:p>
    <w:bookmarkEnd w:id="588"/>
    <w:bookmarkStart w:id="590" w:name="ref-Pase2016"/>
    <w:p>
      <w:pPr>
        <w:pStyle w:val="BodyText"/>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589">
        <w:r>
          <w:rPr>
            <w:rStyle w:val="Hyperlink"/>
          </w:rPr>
          <w:t xml:space="preserve">https://doi.org/doi:10.1161/HYPERTENSIONAHA.115.06610</w:t>
        </w:r>
      </w:hyperlink>
    </w:p>
    <w:bookmarkEnd w:id="590"/>
    <w:bookmarkStart w:id="592" w:name="ref-Pasha2018"/>
    <w:p>
      <w:pPr>
        <w:pStyle w:val="BodyText"/>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591">
        <w:r>
          <w:rPr>
            <w:rStyle w:val="Hyperlink"/>
          </w:rPr>
          <w:t xml:space="preserve">https://doi.org/10.1016/j.neurobiolaging.2018.02.012</w:t>
        </w:r>
      </w:hyperlink>
    </w:p>
    <w:bookmarkEnd w:id="592"/>
    <w:bookmarkStart w:id="594" w:name="ref-Perrotta2018"/>
    <w:p>
      <w:pPr>
        <w:pStyle w:val="BodyText"/>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93">
        <w:r>
          <w:rPr>
            <w:rStyle w:val="Hyperlink"/>
          </w:rPr>
          <w:t xml:space="preserve">https://doi.org/10.1007/s11906-018-0808-8</w:t>
        </w:r>
      </w:hyperlink>
    </w:p>
    <w:bookmarkEnd w:id="594"/>
    <w:bookmarkStart w:id="596" w:name="ref-Redel2022"/>
    <w:p>
      <w:pPr>
        <w:pStyle w:val="BodyText"/>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95">
        <w:r>
          <w:rPr>
            <w:rStyle w:val="Hyperlink"/>
          </w:rPr>
          <w:t xml:space="preserve">https://doi.org/10.1111/pedi.13313</w:t>
        </w:r>
      </w:hyperlink>
    </w:p>
    <w:bookmarkEnd w:id="596"/>
    <w:bookmarkStart w:id="597" w:name="ref-Riley2018"/>
    <w:p>
      <w:pPr>
        <w:pStyle w:val="BodyText"/>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597"/>
    <w:bookmarkStart w:id="598" w:name="ref-Rosner2013"/>
    <w:p>
      <w:pPr>
        <w:pStyle w:val="BodyText"/>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598"/>
    <w:bookmarkStart w:id="600" w:name="ref-Rubin1987"/>
    <w:p>
      <w:pPr>
        <w:pStyle w:val="BodyText"/>
      </w:pPr>
      <w:r>
        <w:t xml:space="preserve">Rubin, D. B. (1987).</w:t>
      </w:r>
      <w:r>
        <w:t xml:space="preserve"> </w:t>
      </w:r>
      <w:r>
        <w:rPr>
          <w:i/>
          <w:iCs/>
        </w:rPr>
        <w:t xml:space="preserve">Multiple imputation for nonresponse in surveys</w:t>
      </w:r>
      <w:r>
        <w:t xml:space="preserve">. John Wiley &amp; Sons.</w:t>
      </w:r>
      <w:r>
        <w:t xml:space="preserve"> </w:t>
      </w:r>
      <w:hyperlink r:id="rId599">
        <w:r>
          <w:rPr>
            <w:rStyle w:val="Hyperlink"/>
          </w:rPr>
          <w:t xml:space="preserve">https://doi.org/10.1002/9780470316696</w:t>
        </w:r>
      </w:hyperlink>
    </w:p>
    <w:bookmarkEnd w:id="600"/>
    <w:bookmarkStart w:id="602" w:name="ref-Shah2014"/>
    <w:p>
      <w:pPr>
        <w:pStyle w:val="BodyText"/>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01">
        <w:r>
          <w:rPr>
            <w:rStyle w:val="Hyperlink"/>
          </w:rPr>
          <w:t xml:space="preserve">https://doi.org/10.1093/aje/kwt312</w:t>
        </w:r>
      </w:hyperlink>
    </w:p>
    <w:bookmarkEnd w:id="602"/>
    <w:bookmarkStart w:id="604"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604"/>
    <w:bookmarkStart w:id="605" w:name="ref-Song2020"/>
    <w:p>
      <w:pPr>
        <w:pStyle w:val="BodyText"/>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605"/>
    <w:bookmarkStart w:id="607"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607"/>
    <w:bookmarkStart w:id="609" w:name="ref-Tsao2022"/>
    <w:p>
      <w:pPr>
        <w:pStyle w:val="BodyText"/>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08">
        <w:r>
          <w:rPr>
            <w:rStyle w:val="Hyperlink"/>
          </w:rPr>
          <w:t xml:space="preserve">https://doi.org/10.1161/CIR.0000000000001052</w:t>
        </w:r>
      </w:hyperlink>
    </w:p>
    <w:bookmarkEnd w:id="609"/>
    <w:bookmarkStart w:id="611" w:name="ref-Wang2022"/>
    <w:p>
      <w:pPr>
        <w:pStyle w:val="BodyText"/>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10">
        <w:r>
          <w:rPr>
            <w:rStyle w:val="Hyperlink"/>
          </w:rPr>
          <w:t xml:space="preserve">https://doi.org/10.1016/j.jstrokecerebrovasdis.2022.106388</w:t>
        </w:r>
      </w:hyperlink>
    </w:p>
    <w:bookmarkEnd w:id="611"/>
    <w:bookmarkStart w:id="612" w:name="ref-Wong2011"/>
    <w:p>
      <w:pPr>
        <w:pStyle w:val="BodyText"/>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612"/>
    <w:bookmarkStart w:id="614" w:name="ref-WorldMedicalAssociation2013"/>
    <w:p>
      <w:pPr>
        <w:pStyle w:val="BodyText"/>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13">
        <w:r>
          <w:rPr>
            <w:rStyle w:val="Hyperlink"/>
          </w:rPr>
          <w:t xml:space="preserve">https://doi.org/10.1001/jama.2013.281053</w:t>
        </w:r>
      </w:hyperlink>
    </w:p>
    <w:bookmarkEnd w:id="614"/>
    <w:bookmarkStart w:id="616" w:name="ref-Yang2020"/>
    <w:p>
      <w:pPr>
        <w:pStyle w:val="BodyText"/>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15">
        <w:r>
          <w:rPr>
            <w:rStyle w:val="Hyperlink"/>
          </w:rPr>
          <w:t xml:space="preserve">https://doi.org/doi:10.1161/HYPERTENSIONAHA.119.14168</w:t>
        </w:r>
      </w:hyperlink>
    </w:p>
    <w:bookmarkEnd w:id="616"/>
    <w:bookmarkEnd w:id="617"/>
    <w:bookmarkEnd w:id="618"/>
    <w:bookmarkEnd w:id="619"/>
    <w:bookmarkStart w:id="645" w:name="general-discussion"/>
    <w:p>
      <w:pPr>
        <w:pStyle w:val="Heading1"/>
      </w:pPr>
      <w:r>
        <w:t xml:space="preserve">8. General discussion</w:t>
      </w:r>
    </w:p>
    <w:p>
      <w:pPr>
        <w:pStyle w:val="FirstParagraph"/>
      </w:pPr>
      <w:r>
        <w:t xml:space="preserve">In this dissertation we</w:t>
      </w:r>
      <w:r>
        <w:t xml:space="preserve"> </w:t>
      </w:r>
      <w:r>
        <w:t xml:space="preserve">we observed that systolic and diastolic blood pressure at age 10 years were associated with lower total and grey matter volumes at age 10 and 14 years.</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goal was to provide a clearer understanding of</w:t>
      </w:r>
      <w:r>
        <w:t xml:space="preserve"> </w:t>
      </w:r>
      <w:r>
        <w:rPr>
          <w:b/>
          <w:bCs/>
        </w:rPr>
        <w:t xml:space="preserve">(a)</w:t>
      </w:r>
      <w:r>
        <w:t xml:space="preserve"> </w:t>
      </w:r>
      <w:r>
        <w:t xml:space="preserve">how ELS impacts psycho-physical health and</w:t>
      </w:r>
      <w:r>
        <w:t xml:space="preserve"> </w:t>
      </w:r>
      <w:r>
        <w:rPr>
          <w:b/>
          <w:bCs/>
        </w:rPr>
        <w:t xml:space="preserve">(b)</w:t>
      </w:r>
      <w:r>
        <w:t xml:space="preserve"> </w:t>
      </w:r>
      <w:r>
        <w:t xml:space="preserve">how mental and physical health influence each other, during this critical, formative stage of life.</w:t>
      </w:r>
    </w:p>
    <w:p>
      <w:pPr>
        <w:pStyle w:val="BodyText"/>
      </w:pPr>
      <w:r>
        <w:t xml:space="preserve">From a clinical standpoint, characterizing these associations is a fundamental step in the development of early intervention strategies that may prevent mental and physical health problems before the onset of more severe symptoms and irreversible structural changes (e.g. to the brain, the heart or the arteries).</w:t>
      </w:r>
    </w:p>
    <w:p>
      <w:pPr>
        <w:pStyle w:val="BodyText"/>
      </w:pPr>
      <w:r>
        <w:t xml:space="preserve">Now, I started this book with a confession: I absolutely hated writing this thesis, down to almost every paragraph. But, because you made it this far - or anyway you happened to open the book on this doomed last chapter - you won the dubious reward of getting to know why.</w:t>
      </w:r>
      <w:r>
        <w:t xml:space="preserve"> </w:t>
      </w:r>
      <w:r>
        <w:t xml:space="preserve">Here is a collection of things I would have done differently, followed by a few things I wish we all did differently.</w:t>
      </w:r>
    </w:p>
    <w:bookmarkStart w:id="624" w:name="modelling-els"/>
    <w:p>
      <w:pPr>
        <w:pStyle w:val="Heading2"/>
      </w:pPr>
      <w:r>
        <w:t xml:space="preserve">8.1 Modelling ELS</w:t>
      </w:r>
    </w:p>
    <w:p>
      <w:pPr>
        <w:pStyle w:val="FirstParagraph"/>
      </w:pPr>
      <w:r>
        <w:t xml:space="preserve">In the four chapter enclosed in Part I of this thesis, I have tried to map the influence of ELS on physical and mental health, including some biomarkers. I say</w:t>
      </w:r>
      <w:r>
        <w:t xml:space="preserve"> </w:t>
      </w:r>
      <w:r>
        <w:t xml:space="preserve">“influence”</w:t>
      </w:r>
      <w:r>
        <w:t xml:space="preserve"> </w:t>
      </w:r>
      <w:r>
        <w:t xml:space="preserve">with cognition, mind you. I saw you raising your eyebrow.</w:t>
      </w:r>
      <w:r>
        <w:t xml:space="preserve"> </w:t>
      </w:r>
      <w:r>
        <w:t xml:space="preserve">“Causal wording, rephrase”</w:t>
      </w:r>
      <w:r>
        <w:t xml:space="preserve"> </w:t>
      </w:r>
      <w:r>
        <w:t xml:space="preserve">is among the most common</w:t>
      </w:r>
      <w:r>
        <w:t xml:space="preserve"> </w:t>
      </w:r>
      <w:r>
        <w:t xml:space="preserve">“co-author comments”</w:t>
      </w:r>
      <w:r>
        <w:t xml:space="preserve"> </w:t>
      </w:r>
      <w:r>
        <w:t xml:space="preserve">I’ve seen across the years, which should have surprised me after 3 university degrees, in three different fields, all dominated by the same mantra:</w:t>
      </w:r>
      <w:r>
        <w:t xml:space="preserve"> </w:t>
      </w:r>
      <w:r>
        <w:t xml:space="preserve">“correlation is not causation”</w:t>
      </w:r>
      <w:r>
        <w:t xml:space="preserve">.</w:t>
      </w:r>
    </w:p>
    <w:bookmarkStart w:id="620" w:name="causal-ish-inferences"/>
    <w:p>
      <w:pPr>
        <w:pStyle w:val="Heading3"/>
      </w:pPr>
      <w:r>
        <w:t xml:space="preserve">Causal(-ish) inferences</w:t>
      </w:r>
    </w:p>
    <w:p>
      <w:pPr>
        <w:pStyle w:val="FirstParagraph"/>
      </w:pPr>
      <w:r>
        <w:t xml:space="preserve">This comes from a good place of course, becasue it is so true and also so frequently i want to shout it at</w:t>
      </w:r>
    </w:p>
    <w:bookmarkEnd w:id="620"/>
    <w:bookmarkStart w:id="621"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621"/>
    <w:bookmarkStart w:id="622" w:name="missing-piece-resilience"/>
    <w:p>
      <w:pPr>
        <w:pStyle w:val="Heading3"/>
      </w:pPr>
      <w:r>
        <w:t xml:space="preserve">Missing piece: resilience</w:t>
      </w:r>
    </w:p>
    <w:bookmarkEnd w:id="622"/>
    <w:bookmarkStart w:id="623" w:name="information-bias"/>
    <w:p>
      <w:pPr>
        <w:pStyle w:val="Heading3"/>
      </w:pPr>
      <w:r>
        <w:t xml:space="preserve">Information bias?</w:t>
      </w:r>
    </w:p>
    <w:p>
      <w:pPr>
        <w:pStyle w:val="FirstParagraph"/>
      </w:pPr>
      <w:r>
        <w:t xml:space="preserve">Our measurement of ELS, lifestyle behaviours and internalizing symptoms rely primarily on parent reports, which might have introduced information bias. does that generalise to self reports?</w:t>
      </w:r>
      <w:r>
        <w:t xml:space="preserve"> </w:t>
      </w:r>
      <w:r>
        <w:t xml:space="preserve">Other measures of adolescent behaviour, e.g., externalizing problems, could represent interesting targets for future studies in the field.</w:t>
      </w:r>
    </w:p>
    <w:bookmarkEnd w:id="623"/>
    <w:bookmarkEnd w:id="624"/>
    <w:bookmarkStart w:id="625"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625"/>
    <w:bookmarkStart w:id="630" w:name="modelling-comorbidity"/>
    <w:p>
      <w:pPr>
        <w:pStyle w:val="Heading2"/>
      </w:pPr>
      <w:r>
        <w:t xml:space="preserve">8.3 Modelling comorbidity</w:t>
      </w:r>
    </w:p>
    <w:p>
      <w:pPr>
        <w:pStyle w:val="FirstParagraph"/>
      </w:pPr>
      <w:r>
        <w:t xml:space="preserve">“Together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Additionally, alterations in immune and hypothalamic-pituitary-adrenal axis functioning resulting from chronically high blood pressure could trigger neuroinflammation, further impairing brain development</w:t>
      </w:r>
    </w:p>
    <w:bookmarkStart w:id="626" w:name="old-data-old-insights-mental-health"/>
    <w:p>
      <w:pPr>
        <w:pStyle w:val="Heading3"/>
      </w:pPr>
      <w:r>
        <w:t xml:space="preserve">old data, old insights: mental health</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bookmarkEnd w:id="626"/>
    <w:bookmarkStart w:id="627" w:name="old-data-old-insights-bmi"/>
    <w:p>
      <w:pPr>
        <w:pStyle w:val="Heading3"/>
      </w:pPr>
      <w:r>
        <w:t xml:space="preserve">old data, old insights: BMI</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BMI.</w:t>
      </w:r>
    </w:p>
    <w:p>
      <w:pPr>
        <w:pStyle w:val="BodyText"/>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627"/>
    <w:bookmarkStart w:id="629" w:name="alternative-modelling-methods-1"/>
    <w:p>
      <w:pPr>
        <w:pStyle w:val="Heading3"/>
      </w:pPr>
      <w:r>
        <w:t xml:space="preserve">Alternative modelling methods</w:t>
      </w:r>
    </w:p>
    <w:p>
      <w:pPr>
        <w:pStyle w:val="FirstParagraph"/>
      </w:pPr>
      <w:r>
        <w:t xml:space="preserve">network</w:t>
      </w:r>
    </w:p>
    <w:bookmarkStart w:id="628" w:name="the-role-of-lifestyle-and-puberty"/>
    <w:p>
      <w:pPr>
        <w:pStyle w:val="Heading4"/>
      </w:pPr>
      <w:r>
        <w:t xml:space="preserve">the role of lifestyle and puberty</w:t>
      </w:r>
    </w:p>
    <w:p>
      <w:pPr>
        <w:pStyle w:val="FirstParagraph"/>
      </w:pPr>
      <w:r>
        <w:t xml:space="preserve">“while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w:t>
      </w:r>
    </w:p>
    <w:bookmarkEnd w:id="628"/>
    <w:bookmarkEnd w:id="629"/>
    <w:bookmarkEnd w:id="630"/>
    <w:bookmarkStart w:id="634" w:name="so-what-was-this-all-for"/>
    <w:p>
      <w:pPr>
        <w:pStyle w:val="Heading2"/>
      </w:pPr>
      <w:r>
        <w:t xml:space="preserve">8.4 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Start w:id="633"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631"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Based on data from two independent population-based cohorts, either physical activity, sleep or dietary behaviour did not attenuate the association between ELS exposure and adolescent psycho-physical comorbidity. That was surprising to me, but also, as I later came to find out not so rare in the research on lifestyle factors.</w:t>
      </w:r>
      <w:r>
        <w:t xml:space="preserve"> </w:t>
      </w:r>
      <w:r>
        <w:t xml:space="preserve">“Developmental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 (Choi et al., 2020).”</w:t>
      </w:r>
      <w:r>
        <w:t xml:space="preserve"> </w:t>
      </w:r>
      <w:r>
        <w:t xml:space="preserve">“differential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bookmarkEnd w:id="631"/>
    <w:bookmarkStart w:id="632"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632"/>
    <w:bookmarkEnd w:id="633"/>
    <w:bookmarkEnd w:id="634"/>
    <w:bookmarkStart w:id="635" w:name="ethnicity"/>
    <w:p>
      <w:pPr>
        <w:pStyle w:val="Heading2"/>
      </w:pPr>
      <w:r>
        <w:t xml:space="preserve">8.5 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635"/>
    <w:bookmarkStart w:id="636" w:name="science-is-dead-and-we-killed-it"/>
    <w:p>
      <w:pPr>
        <w:pStyle w:val="Heading2"/>
      </w:pPr>
      <w:r>
        <w:t xml:space="preserve">8.6 Science is dead, and we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r>
        <w:t xml:space="preserve"> </w:t>
      </w: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r>
        <w:t xml:space="preserve"> </w:t>
      </w:r>
      <w:r>
        <w:t xml:space="preserve">journals should not gatekeep knowledge.</w:t>
      </w:r>
    </w:p>
    <w:p>
      <w:pPr>
        <w:pStyle w:val="BodyText"/>
      </w:pPr>
      <w:r>
        <w:t xml:space="preserve">The academic publishing dream: You do the research - You write the paper - You review someone else’s paper (for free) - Then you pay to publish your own - And your university pays again so others can read it.</w:t>
      </w:r>
      <w:r>
        <w:t xml:space="preserve"> </w:t>
      </w:r>
      <w:r>
        <w:t xml:space="preserve">Meanwhile, publishers sit back and make hugh profits — built on public funding, unpaid labor, and a prestige system they didn’t create but fully exploit.</w:t>
      </w:r>
      <w:r>
        <w:t xml:space="preserve"> </w:t>
      </w:r>
      <w:r>
        <w:t xml:space="preserve">And we keep playing along.</w:t>
      </w:r>
      <w:r>
        <w:t xml:space="preserve"> </w:t>
      </w:r>
      <w:r>
        <w:t xml:space="preserve">Maybe it’s time we stop pretending this is normal. There are alternatives. Fair, open, non-profit models exist — run by researchers for researchers. Think community-owned journals, preprints, and platforms that don’t turn scientific knowledge into a paywall business. We don’t need to burn down the system — we just need to stop feeding it.</w:t>
      </w:r>
      <w:r>
        <w:t xml:space="preserve"> </w:t>
      </w:r>
      <w:r>
        <w:t xml:space="preserve">It is about time academics and academic leaders learn the craft of negotiating. Had they had it, things might have ended differently and they (and the tax payer) would not have been exploited in this ridiculous way. Perhaps it is not too late yet: get organised and bargain. Publishers are not invincible!</w:t>
      </w:r>
      <w:r>
        <w:t xml:space="preserve"> </w:t>
      </w:r>
      <w:r>
        <w:t xml:space="preserve">If there is such a sincere agreement in academic community that the current model is not sustainable, then where are lawsuits?</w:t>
      </w:r>
      <w:r>
        <w:t xml:space="preserve"> </w:t>
      </w:r>
      <w:r>
        <w:t xml:space="preserve">And why such lawsuits are not brought up by national-level funding watchdogs, as after all it is mostly public funding that’s being extracted via scientific publication process to… where?</w:t>
      </w:r>
    </w:p>
    <w:p>
      <w:pPr>
        <w:pStyle w:val="BodyText"/>
      </w:pPr>
      <w:r>
        <w:t xml:space="preserve">https://news.justia.com/antitrust-lawsuit-brought-against-academic-publishers-for-peer-review-and-submission-restrictions/</w:t>
      </w:r>
    </w:p>
    <w:p>
      <w:pPr>
        <w:pStyle w:val="BodyText"/>
      </w:pPr>
      <w:r>
        <w:t xml:space="preserve">code is the scientific product</w:t>
      </w:r>
    </w:p>
    <w:bookmarkEnd w:id="636"/>
    <w:bookmarkStart w:id="637" w:name="references-7"/>
    <w:p>
      <w:pPr>
        <w:pStyle w:val="Heading2"/>
      </w:pPr>
      <w:r>
        <w:t xml:space="preserve">References</w:t>
      </w:r>
    </w:p>
    <w:bookmarkEnd w:id="637"/>
    <w:bookmarkStart w:id="644" w:name="bibliography--8"/>
    <w:p>
      <w:pPr>
        <w:pStyle w:val="Heading2"/>
      </w:pPr>
      <w:r>
        <w:t xml:space="preserve">References</w:t>
      </w:r>
    </w:p>
    <w:bookmarkStart w:id="643" w:name="refs--8"/>
    <w:bookmarkStart w:id="638" w:name="ref-BrainDev2012"/>
    <w:p>
      <w:pPr>
        <w:pStyle w:val="FirstParagraph"/>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38"/>
    <w:bookmarkStart w:id="639"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639"/>
    <w:bookmarkStart w:id="640"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640"/>
    <w:bookmarkStart w:id="641"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641"/>
    <w:bookmarkStart w:id="642"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642"/>
    <w:bookmarkEnd w:id="643"/>
    <w:bookmarkEnd w:id="644"/>
    <w:bookmarkEnd w:id="645"/>
    <w:bookmarkStart w:id="827" w:name="bibliography"/>
    <w:p>
      <w:pPr>
        <w:pStyle w:val="Heading1"/>
      </w:pPr>
      <w:r>
        <w:t xml:space="preserve">References</w:t>
      </w:r>
    </w:p>
    <w:bookmarkStart w:id="826" w:name="refs"/>
    <w:bookmarkStart w:id="646"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646"/>
    <w:bookmarkStart w:id="647"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647"/>
    <w:bookmarkStart w:id="648"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648"/>
    <w:bookmarkStart w:id="649" w:name="ref-AlHazzouri2015"/>
    <w:p>
      <w:pPr>
        <w:pStyle w:val="Bibliography"/>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649"/>
    <w:bookmarkStart w:id="650" w:name="ref-Alateeq2022"/>
    <w:p>
      <w:pPr>
        <w:pStyle w:val="Bibliography"/>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47">
        <w:r>
          <w:rPr>
            <w:rStyle w:val="Hyperlink"/>
          </w:rPr>
          <w:t xml:space="preserve">https://doi.org/10.3390/jcm11113127</w:t>
        </w:r>
      </w:hyperlink>
    </w:p>
    <w:bookmarkEnd w:id="650"/>
    <w:bookmarkStart w:id="651"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651"/>
    <w:bookmarkStart w:id="652" w:name="ref-Angold1995"/>
    <w:p>
      <w:pPr>
        <w:pStyle w:val="Bibliography"/>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652"/>
    <w:bookmarkStart w:id="653"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653"/>
    <w:bookmarkStart w:id="654" w:name="ref-AustralianDepartmentofHealth2014"/>
    <w:p>
      <w:pPr>
        <w:pStyle w:val="Bibliography"/>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654"/>
    <w:bookmarkStart w:id="655" w:name="ref-Badji2019"/>
    <w:p>
      <w:pPr>
        <w:pStyle w:val="Bibliography"/>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49">
        <w:r>
          <w:rPr>
            <w:rStyle w:val="Hyperlink"/>
          </w:rPr>
          <w:t xml:space="preserve">https://doi.org/10.1016/j.arr.2019.05.001</w:t>
        </w:r>
      </w:hyperlink>
    </w:p>
    <w:bookmarkEnd w:id="655"/>
    <w:bookmarkStart w:id="656" w:name="ref-Baradaran2020"/>
    <w:p>
      <w:pPr>
        <w:pStyle w:val="Bibliography"/>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51">
        <w:r>
          <w:rPr>
            <w:rStyle w:val="Hyperlink"/>
          </w:rPr>
          <w:t xml:space="preserve">https://doi.org/10.21037/atm-20-1939</w:t>
        </w:r>
      </w:hyperlink>
    </w:p>
    <w:bookmarkEnd w:id="656"/>
    <w:bookmarkStart w:id="657"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657"/>
    <w:bookmarkStart w:id="658"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658"/>
    <w:bookmarkStart w:id="659" w:name="ref-Bates2015"/>
    <w:p>
      <w:pPr>
        <w:pStyle w:val="Bibliography"/>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53">
        <w:r>
          <w:rPr>
            <w:rStyle w:val="Hyperlink"/>
          </w:rPr>
          <w:t xml:space="preserve">https://doi.org/10.18637/jss.v067.i01</w:t>
        </w:r>
      </w:hyperlink>
    </w:p>
    <w:bookmarkEnd w:id="659"/>
    <w:bookmarkStart w:id="660" w:name="ref-Beauchet2013"/>
    <w:p>
      <w:pPr>
        <w:pStyle w:val="Bibliography"/>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555">
        <w:r>
          <w:rPr>
            <w:rStyle w:val="Hyperlink"/>
          </w:rPr>
          <w:t xml:space="preserve">https://doi.org/10.1097/HJH.0b013e32836184b5</w:t>
        </w:r>
      </w:hyperlink>
    </w:p>
    <w:bookmarkEnd w:id="660"/>
    <w:bookmarkStart w:id="661" w:name="ref-Benjamini2001"/>
    <w:p>
      <w:pPr>
        <w:pStyle w:val="Bibliography"/>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661"/>
    <w:bookmarkStart w:id="662"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662"/>
    <w:bookmarkStart w:id="663"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663"/>
    <w:bookmarkStart w:id="664"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664"/>
    <w:bookmarkStart w:id="665"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665"/>
    <w:bookmarkStart w:id="666" w:name="ref-Bradley2008"/>
    <w:p>
      <w:pPr>
        <w:pStyle w:val="Bibliography"/>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45">
        <w:r>
          <w:rPr>
            <w:rStyle w:val="Hyperlink"/>
          </w:rPr>
          <w:t xml:space="preserve">https://doi.org/10.1016/j.jpeds.2008.05.026</w:t>
        </w:r>
      </w:hyperlink>
    </w:p>
    <w:bookmarkEnd w:id="666"/>
    <w:bookmarkStart w:id="667" w:name="ref-BrainDev2012"/>
    <w:p>
      <w:pPr>
        <w:pStyle w:val="Bibliography"/>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67"/>
    <w:bookmarkStart w:id="668"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668"/>
    <w:bookmarkStart w:id="669"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669"/>
    <w:bookmarkStart w:id="670" w:name="ref-Bull2020"/>
    <w:p>
      <w:pPr>
        <w:pStyle w:val="Bibliography"/>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670"/>
    <w:bookmarkStart w:id="671"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671"/>
    <w:bookmarkStart w:id="672"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672"/>
    <w:bookmarkStart w:id="673" w:name="ref-Carey2014"/>
    <w:p>
      <w:pPr>
        <w:pStyle w:val="Bibliography"/>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47">
        <w:r>
          <w:rPr>
            <w:rStyle w:val="Hyperlink"/>
          </w:rPr>
          <w:t xml:space="preserve">https://doi.org/10.3399/bjgp14X677482</w:t>
        </w:r>
      </w:hyperlink>
    </w:p>
    <w:bookmarkEnd w:id="673"/>
    <w:bookmarkStart w:id="674"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674"/>
    <w:bookmarkStart w:id="675"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675"/>
    <w:bookmarkStart w:id="676" w:name="ref-Cermakova2020"/>
    <w:p>
      <w:pPr>
        <w:pStyle w:val="Bibliography"/>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560">
        <w:r>
          <w:rPr>
            <w:rStyle w:val="Hyperlink"/>
          </w:rPr>
          <w:t xml:space="preserve">https://doi.org/10.1093/gerona/glz039</w:t>
        </w:r>
      </w:hyperlink>
    </w:p>
    <w:bookmarkEnd w:id="676"/>
    <w:bookmarkStart w:id="677" w:name="ref-Chen2023"/>
    <w:p>
      <w:pPr>
        <w:pStyle w:val="Bibliography"/>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49">
        <w:r>
          <w:rPr>
            <w:rStyle w:val="Hyperlink"/>
          </w:rPr>
          <w:t xml:space="preserve">https://doi.org/10.1016/j.jad.2023.07.044</w:t>
        </w:r>
      </w:hyperlink>
    </w:p>
    <w:bookmarkEnd w:id="677"/>
    <w:bookmarkStart w:id="678" w:name="ref-Choi2019"/>
    <w:p>
      <w:pPr>
        <w:pStyle w:val="Bibliography"/>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678"/>
    <w:bookmarkStart w:id="679" w:name="ref-Choi2020"/>
    <w:p>
      <w:pPr>
        <w:pStyle w:val="Bibliography"/>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679"/>
    <w:bookmarkStart w:id="680"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680"/>
    <w:bookmarkStart w:id="681" w:name="ref-Cohen2019"/>
    <w:p>
      <w:pPr>
        <w:pStyle w:val="Bibliography"/>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51">
        <w:r>
          <w:rPr>
            <w:rStyle w:val="Hyperlink"/>
          </w:rPr>
          <w:t xml:space="preserve">https://doi.org/10.1007/s10578-019-00869-6</w:t>
        </w:r>
      </w:hyperlink>
    </w:p>
    <w:bookmarkEnd w:id="681"/>
    <w:bookmarkStart w:id="682"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682"/>
    <w:bookmarkStart w:id="683" w:name="ref-Curran2014"/>
    <w:p>
      <w:pPr>
        <w:pStyle w:val="Bibliography"/>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53">
        <w:r>
          <w:rPr>
            <w:rStyle w:val="Hyperlink"/>
          </w:rPr>
          <w:t xml:space="preserve">https://doi.org/10.1037/a0035297</w:t>
        </w:r>
      </w:hyperlink>
    </w:p>
    <w:bookmarkEnd w:id="683"/>
    <w:bookmarkStart w:id="684"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684"/>
    <w:bookmarkStart w:id="685" w:name="ref-Dangardt2019"/>
    <w:p>
      <w:pPr>
        <w:pStyle w:val="Bibliography"/>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55">
        <w:r>
          <w:rPr>
            <w:rStyle w:val="Hyperlink"/>
          </w:rPr>
          <w:t xml:space="preserve">https://doi.org/10.1016/S2352-4642(19)30105-1</w:t>
        </w:r>
      </w:hyperlink>
    </w:p>
    <w:bookmarkEnd w:id="685"/>
    <w:bookmarkStart w:id="686" w:name="ref-Dawson2021"/>
    <w:p>
      <w:pPr>
        <w:pStyle w:val="Bibliography"/>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562">
        <w:r>
          <w:rPr>
            <w:rStyle w:val="Hyperlink"/>
          </w:rPr>
          <w:t xml:space="preserve">https://doi.org/10.1007/s00467-021-05077-w</w:t>
        </w:r>
      </w:hyperlink>
    </w:p>
    <w:bookmarkEnd w:id="686"/>
    <w:bookmarkStart w:id="687" w:name="ref-DeGroot2013"/>
    <w:p>
      <w:pPr>
        <w:pStyle w:val="Bibliography"/>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687"/>
    <w:bookmarkStart w:id="688" w:name="ref-Defina2023"/>
    <w:p>
      <w:pPr>
        <w:pStyle w:val="Bibliography"/>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688"/>
    <w:bookmarkStart w:id="689" w:name="ref-Dencker2007"/>
    <w:p>
      <w:pPr>
        <w:pStyle w:val="Bibliography"/>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58">
        <w:r>
          <w:rPr>
            <w:rStyle w:val="Hyperlink"/>
          </w:rPr>
          <w:t xml:space="preserve">https://doi.org/10.1111/j.1475-097X.2007.00709.x</w:t>
        </w:r>
      </w:hyperlink>
    </w:p>
    <w:bookmarkEnd w:id="689"/>
    <w:bookmarkStart w:id="690"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690"/>
    <w:bookmarkStart w:id="691"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691"/>
    <w:bookmarkStart w:id="692"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692"/>
    <w:bookmarkStart w:id="693"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693"/>
    <w:bookmarkStart w:id="694"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694"/>
    <w:bookmarkStart w:id="695"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695"/>
    <w:bookmarkStart w:id="696"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696"/>
    <w:bookmarkStart w:id="697"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697"/>
    <w:bookmarkStart w:id="698"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698"/>
    <w:bookmarkStart w:id="699"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699"/>
    <w:bookmarkStart w:id="700"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700"/>
    <w:bookmarkStart w:id="701" w:name="ref-Fischl2012"/>
    <w:p>
      <w:pPr>
        <w:pStyle w:val="Bibliography"/>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565">
        <w:r>
          <w:rPr>
            <w:rStyle w:val="Hyperlink"/>
          </w:rPr>
          <w:t xml:space="preserve">https://doi.org/10.1016/j.neuroimage.2012.01.021</w:t>
        </w:r>
      </w:hyperlink>
    </w:p>
    <w:bookmarkEnd w:id="701"/>
    <w:bookmarkStart w:id="702"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702"/>
    <w:bookmarkStart w:id="703"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703"/>
    <w:bookmarkStart w:id="704" w:name="ref-Forman-Hoffman2007"/>
    <w:p>
      <w:pPr>
        <w:pStyle w:val="Bibliography"/>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60">
        <w:r>
          <w:rPr>
            <w:rStyle w:val="Hyperlink"/>
          </w:rPr>
          <w:t xml:space="preserve">https://doi.org/10.1093/geronb/62.1.s43</w:t>
        </w:r>
      </w:hyperlink>
    </w:p>
    <w:bookmarkEnd w:id="704"/>
    <w:bookmarkStart w:id="705"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705"/>
    <w:bookmarkStart w:id="706"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706"/>
    <w:bookmarkStart w:id="707"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707"/>
    <w:bookmarkStart w:id="708"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708"/>
    <w:bookmarkStart w:id="709"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709"/>
    <w:bookmarkStart w:id="710"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710"/>
    <w:bookmarkStart w:id="711" w:name="ref-Groeschel2010"/>
    <w:p>
      <w:pPr>
        <w:pStyle w:val="Bibliography"/>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568">
        <w:r>
          <w:rPr>
            <w:rStyle w:val="Hyperlink"/>
          </w:rPr>
          <w:t xml:space="preserve">https://doi.org/10.1016/j.ijdevneu.2010.06.004</w:t>
        </w:r>
      </w:hyperlink>
    </w:p>
    <w:bookmarkEnd w:id="711"/>
    <w:bookmarkStart w:id="712"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712"/>
    <w:bookmarkStart w:id="713" w:name="ref-Hamaker2015"/>
    <w:p>
      <w:pPr>
        <w:pStyle w:val="Bibliography"/>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64">
        <w:r>
          <w:rPr>
            <w:rStyle w:val="Hyperlink"/>
          </w:rPr>
          <w:t xml:space="preserve">https://doi.org/10.1037/a0038889</w:t>
        </w:r>
      </w:hyperlink>
    </w:p>
    <w:bookmarkEnd w:id="713"/>
    <w:bookmarkStart w:id="714" w:name="ref-Hanlon2020"/>
    <w:p>
      <w:pPr>
        <w:pStyle w:val="Bibliography"/>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714"/>
    <w:bookmarkStart w:id="715"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715"/>
    <w:bookmarkStart w:id="716" w:name="ref-Harris2009"/>
    <w:p>
      <w:pPr>
        <w:pStyle w:val="Bibliography"/>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66">
        <w:r>
          <w:rPr>
            <w:rStyle w:val="Hyperlink"/>
          </w:rPr>
          <w:t xml:space="preserve">https://doi.org/10.1016/j.jbi.2008.08.010</w:t>
        </w:r>
      </w:hyperlink>
    </w:p>
    <w:bookmarkEnd w:id="716"/>
    <w:bookmarkStart w:id="717"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717"/>
    <w:bookmarkStart w:id="718" w:name="ref-He2021"/>
    <w:p>
      <w:pPr>
        <w:pStyle w:val="Bibliography"/>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718"/>
    <w:bookmarkStart w:id="719" w:name="ref-UKDepartmentofHealth2011"/>
    <w:p>
      <w:pPr>
        <w:pStyle w:val="Bibliography"/>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719"/>
    <w:bookmarkStart w:id="720" w:name="ref-NICE2015"/>
    <w:p>
      <w:pPr>
        <w:pStyle w:val="Bibliography"/>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720"/>
    <w:bookmarkStart w:id="721"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721"/>
    <w:bookmarkStart w:id="722" w:name="ref-Henchoz2019"/>
    <w:p>
      <w:pPr>
        <w:pStyle w:val="Bibliography"/>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722"/>
    <w:bookmarkStart w:id="723"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723"/>
    <w:bookmarkStart w:id="724" w:name="ref-Hu2022"/>
    <w:p>
      <w:pPr>
        <w:pStyle w:val="Bibliography"/>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570">
        <w:r>
          <w:rPr>
            <w:rStyle w:val="Hyperlink"/>
          </w:rPr>
          <w:t xml:space="preserve">https://doi.org/10.1001/jamanetworkopen.2022.1175</w:t>
        </w:r>
      </w:hyperlink>
    </w:p>
    <w:bookmarkEnd w:id="724"/>
    <w:bookmarkStart w:id="725"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725"/>
    <w:bookmarkStart w:id="726"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726"/>
    <w:bookmarkStart w:id="727"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727"/>
    <w:bookmarkStart w:id="728"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728"/>
    <w:bookmarkStart w:id="729"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729"/>
    <w:bookmarkStart w:id="730" w:name="ref-Jansen2013"/>
    <w:p>
      <w:pPr>
        <w:pStyle w:val="Bibliography"/>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68">
        <w:r>
          <w:rPr>
            <w:rStyle w:val="Hyperlink"/>
          </w:rPr>
          <w:t xml:space="preserve">https://doi.org/10.1016/j.acap.2012.12.001</w:t>
        </w:r>
      </w:hyperlink>
    </w:p>
    <w:bookmarkEnd w:id="730"/>
    <w:bookmarkStart w:id="731" w:name="ref-Jokela2023"/>
    <w:p>
      <w:pPr>
        <w:pStyle w:val="Bibliography"/>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70">
        <w:r>
          <w:rPr>
            <w:rStyle w:val="Hyperlink"/>
          </w:rPr>
          <w:t xml:space="preserve">https://doi.org/10.1016/j.jpsychires.2023.05.034</w:t>
        </w:r>
      </w:hyperlink>
    </w:p>
    <w:bookmarkEnd w:id="731"/>
    <w:bookmarkStart w:id="732"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732"/>
    <w:bookmarkStart w:id="733" w:name="ref-Katikireddi2017"/>
    <w:p>
      <w:pPr>
        <w:pStyle w:val="Bibliography"/>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733"/>
    <w:bookmarkStart w:id="734"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734"/>
    <w:bookmarkStart w:id="735" w:name="ref-Kline2016"/>
    <w:p>
      <w:pPr>
        <w:pStyle w:val="Bibliography"/>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735"/>
    <w:bookmarkStart w:id="736" w:name="ref-Konttinen2014"/>
    <w:p>
      <w:pPr>
        <w:pStyle w:val="Bibliography"/>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474">
        <w:r>
          <w:rPr>
            <w:rStyle w:val="Hyperlink"/>
          </w:rPr>
          <w:t xml:space="preserve">https://doi.org/10.1038/ijo.2013.151</w:t>
        </w:r>
      </w:hyperlink>
    </w:p>
    <w:bookmarkEnd w:id="736"/>
    <w:bookmarkStart w:id="737"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737"/>
    <w:bookmarkStart w:id="738"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738"/>
    <w:bookmarkStart w:id="739" w:name="ref-Kruger2021"/>
    <w:p>
      <w:pPr>
        <w:pStyle w:val="Bibliography"/>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573">
        <w:r>
          <w:rPr>
            <w:rStyle w:val="Hyperlink"/>
          </w:rPr>
          <w:t xml:space="preserve">https://doi.org/10.1007/s00467-020-04593-5</w:t>
        </w:r>
      </w:hyperlink>
    </w:p>
    <w:bookmarkEnd w:id="739"/>
    <w:bookmarkStart w:id="740" w:name="ref-Kwong2019"/>
    <w:p>
      <w:pPr>
        <w:pStyle w:val="Bibliography"/>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476">
        <w:r>
          <w:rPr>
            <w:rStyle w:val="Hyperlink"/>
          </w:rPr>
          <w:t xml:space="preserve">https://doi.org/10.12688/wellcomeopenres.15395.2</w:t>
        </w:r>
      </w:hyperlink>
    </w:p>
    <w:bookmarkEnd w:id="740"/>
    <w:bookmarkStart w:id="741" w:name="ref-Lamballais2018"/>
    <w:p>
      <w:pPr>
        <w:pStyle w:val="Bibliography"/>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575">
        <w:r>
          <w:rPr>
            <w:rStyle w:val="Hyperlink"/>
          </w:rPr>
          <w:t xml:space="preserve">https://doi.org/doi:10.1161/JAHA.118.009847</w:t>
        </w:r>
      </w:hyperlink>
    </w:p>
    <w:bookmarkEnd w:id="741"/>
    <w:bookmarkStart w:id="742" w:name="ref-Lande2019"/>
    <w:p>
      <w:pPr>
        <w:pStyle w:val="Bibliography"/>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577">
        <w:r>
          <w:rPr>
            <w:rStyle w:val="Hyperlink"/>
          </w:rPr>
          <w:t xml:space="preserve">https://doi.org/doi:10.1161/HYPERTENSIONAHA.118.11686</w:t>
        </w:r>
      </w:hyperlink>
    </w:p>
    <w:bookmarkEnd w:id="742"/>
    <w:bookmarkStart w:id="743" w:name="ref-Lassale2019"/>
    <w:p>
      <w:pPr>
        <w:pStyle w:val="Bibliography"/>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743"/>
    <w:bookmarkStart w:id="744"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744"/>
    <w:bookmarkStart w:id="745" w:name="ref-Launer2015"/>
    <w:p>
      <w:pPr>
        <w:pStyle w:val="Bibliography"/>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745"/>
    <w:bookmarkStart w:id="746"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746"/>
    <w:bookmarkStart w:id="747"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747"/>
    <w:bookmarkStart w:id="748"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748"/>
    <w:bookmarkStart w:id="749" w:name="ref-Liu2013"/>
    <w:p>
      <w:pPr>
        <w:pStyle w:val="Bibliography"/>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478">
        <w:r>
          <w:rPr>
            <w:rStyle w:val="Hyperlink"/>
          </w:rPr>
          <w:t xml:space="preserve">https://doi.org/10.1186/1471-2458-13-629</w:t>
        </w:r>
      </w:hyperlink>
    </w:p>
    <w:bookmarkEnd w:id="749"/>
    <w:bookmarkStart w:id="750" w:name="ref-Lucas2022"/>
    <w:p>
      <w:pPr>
        <w:pStyle w:val="Bibliography"/>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580">
        <w:r>
          <w:rPr>
            <w:rStyle w:val="Hyperlink"/>
          </w:rPr>
          <w:t xml:space="preserve">https://doi.org/10.3389/fcvm.2022.973793</w:t>
        </w:r>
      </w:hyperlink>
    </w:p>
    <w:bookmarkEnd w:id="750"/>
    <w:bookmarkStart w:id="751" w:name="ref-Luppino2010"/>
    <w:p>
      <w:pPr>
        <w:pStyle w:val="Bibliography"/>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751"/>
    <w:bookmarkStart w:id="752"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752"/>
    <w:bookmarkStart w:id="753" w:name="ref-Maillard2017"/>
    <w:p>
      <w:pPr>
        <w:pStyle w:val="Bibliography"/>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753"/>
    <w:bookmarkStart w:id="754" w:name="ref-Maillard2016"/>
    <w:p>
      <w:pPr>
        <w:pStyle w:val="Bibliography"/>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754"/>
    <w:bookmarkStart w:id="755" w:name="ref-Maillard2012"/>
    <w:p>
      <w:pPr>
        <w:pStyle w:val="Bibliography"/>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755"/>
    <w:bookmarkStart w:id="756"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756"/>
    <w:bookmarkStart w:id="757"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757"/>
    <w:bookmarkStart w:id="758" w:name="ref-Muetzel2018"/>
    <w:p>
      <w:pPr>
        <w:pStyle w:val="Bibliography"/>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585">
        <w:r>
          <w:rPr>
            <w:rStyle w:val="Hyperlink"/>
          </w:rPr>
          <w:t xml:space="preserve">https://doi.org/10.1176/appi.ajp.2017.16070813</w:t>
        </w:r>
      </w:hyperlink>
    </w:p>
    <w:bookmarkEnd w:id="758"/>
    <w:bookmarkStart w:id="759" w:name="ref-Muetzel2019"/>
    <w:p>
      <w:pPr>
        <w:pStyle w:val="Bibliography"/>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587">
        <w:r>
          <w:rPr>
            <w:rStyle w:val="Hyperlink"/>
          </w:rPr>
          <w:t xml:space="preserve">https://doi.org/10.3389/fpsyt.2019.00696</w:t>
        </w:r>
      </w:hyperlink>
    </w:p>
    <w:bookmarkEnd w:id="759"/>
    <w:bookmarkStart w:id="760"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760"/>
    <w:bookmarkStart w:id="761" w:name="ref-NCD-RisC2017"/>
    <w:p>
      <w:pPr>
        <w:pStyle w:val="Bibliography"/>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761"/>
    <w:bookmarkStart w:id="762"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762"/>
    <w:bookmarkStart w:id="763" w:name="ref-Northstone2019"/>
    <w:p>
      <w:pPr>
        <w:pStyle w:val="Bibliography"/>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483">
        <w:r>
          <w:rPr>
            <w:rStyle w:val="Hyperlink"/>
          </w:rPr>
          <w:t xml:space="preserve">https://doi.org/10.12688/wellcomeopenres.15132.1</w:t>
        </w:r>
      </w:hyperlink>
    </w:p>
    <w:bookmarkEnd w:id="763"/>
    <w:bookmarkStart w:id="764"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764"/>
    <w:bookmarkStart w:id="765"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765"/>
    <w:bookmarkStart w:id="766"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766"/>
    <w:bookmarkStart w:id="767" w:name="ref-Paruthi2016"/>
    <w:p>
      <w:pPr>
        <w:pStyle w:val="Bibliography"/>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767"/>
    <w:bookmarkStart w:id="768" w:name="ref-Pase2016"/>
    <w:p>
      <w:pPr>
        <w:pStyle w:val="Bibliography"/>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589">
        <w:r>
          <w:rPr>
            <w:rStyle w:val="Hyperlink"/>
          </w:rPr>
          <w:t xml:space="preserve">https://doi.org/doi:10.1161/HYPERTENSIONAHA.115.06610</w:t>
        </w:r>
      </w:hyperlink>
    </w:p>
    <w:bookmarkEnd w:id="768"/>
    <w:bookmarkStart w:id="769" w:name="ref-Pasha2018"/>
    <w:p>
      <w:pPr>
        <w:pStyle w:val="Bibliography"/>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591">
        <w:r>
          <w:rPr>
            <w:rStyle w:val="Hyperlink"/>
          </w:rPr>
          <w:t xml:space="preserve">https://doi.org/10.1016/j.neurobiolaging.2018.02.012</w:t>
        </w:r>
      </w:hyperlink>
    </w:p>
    <w:bookmarkEnd w:id="769"/>
    <w:bookmarkStart w:id="770"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770"/>
    <w:bookmarkStart w:id="771"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771"/>
    <w:bookmarkStart w:id="772"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772"/>
    <w:bookmarkStart w:id="773"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773"/>
    <w:bookmarkStart w:id="774" w:name="ref-Perrotta2018"/>
    <w:p>
      <w:pPr>
        <w:pStyle w:val="Bibliography"/>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93">
        <w:r>
          <w:rPr>
            <w:rStyle w:val="Hyperlink"/>
          </w:rPr>
          <w:t xml:space="preserve">https://doi.org/10.1007/s11906-018-0808-8</w:t>
        </w:r>
      </w:hyperlink>
    </w:p>
    <w:bookmarkEnd w:id="774"/>
    <w:bookmarkStart w:id="775"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775"/>
    <w:bookmarkStart w:id="776"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776"/>
    <w:bookmarkStart w:id="777"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777"/>
    <w:bookmarkStart w:id="778"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778"/>
    <w:bookmarkStart w:id="779" w:name="ref-Redel2022"/>
    <w:p>
      <w:pPr>
        <w:pStyle w:val="Bibliography"/>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95">
        <w:r>
          <w:rPr>
            <w:rStyle w:val="Hyperlink"/>
          </w:rPr>
          <w:t xml:space="preserve">https://doi.org/10.1111/pedi.13313</w:t>
        </w:r>
      </w:hyperlink>
    </w:p>
    <w:bookmarkEnd w:id="779"/>
    <w:bookmarkStart w:id="780"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780"/>
    <w:bookmarkStart w:id="781"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781"/>
    <w:bookmarkStart w:id="782" w:name="ref-Riley2018"/>
    <w:p>
      <w:pPr>
        <w:pStyle w:val="Bibliography"/>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782"/>
    <w:bookmarkStart w:id="783"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783"/>
    <w:bookmarkStart w:id="784" w:name="ref-Rosner2013"/>
    <w:p>
      <w:pPr>
        <w:pStyle w:val="Bibliography"/>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784"/>
    <w:bookmarkStart w:id="785" w:name="ref-Rosseel2012"/>
    <w:p>
      <w:pPr>
        <w:pStyle w:val="Bibliography"/>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487">
        <w:r>
          <w:rPr>
            <w:rStyle w:val="Hyperlink"/>
          </w:rPr>
          <w:t xml:space="preserve">https://doi.org/10.18637/jss.v048.i02</w:t>
        </w:r>
      </w:hyperlink>
    </w:p>
    <w:bookmarkEnd w:id="785"/>
    <w:bookmarkStart w:id="786" w:name="ref-Rubin1987"/>
    <w:p>
      <w:pPr>
        <w:pStyle w:val="Bibliography"/>
      </w:pPr>
      <w:r>
        <w:t xml:space="preserve">Rubin, D. B. (1987).</w:t>
      </w:r>
      <w:r>
        <w:t xml:space="preserve"> </w:t>
      </w:r>
      <w:r>
        <w:rPr>
          <w:i/>
          <w:iCs/>
        </w:rPr>
        <w:t xml:space="preserve">Multiple imputation for nonresponse in surveys</w:t>
      </w:r>
      <w:r>
        <w:t xml:space="preserve">. John Wiley &amp; Sons.</w:t>
      </w:r>
      <w:r>
        <w:t xml:space="preserve"> </w:t>
      </w:r>
      <w:hyperlink r:id="rId599">
        <w:r>
          <w:rPr>
            <w:rStyle w:val="Hyperlink"/>
          </w:rPr>
          <w:t xml:space="preserve">https://doi.org/10.1002/9780470316696</w:t>
        </w:r>
      </w:hyperlink>
    </w:p>
    <w:bookmarkEnd w:id="786"/>
    <w:bookmarkStart w:id="787" w:name="ref-Schuch2018"/>
    <w:p>
      <w:pPr>
        <w:pStyle w:val="Bibliography"/>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787"/>
    <w:bookmarkStart w:id="788"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788"/>
    <w:bookmarkStart w:id="789"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789"/>
    <w:bookmarkStart w:id="790"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790"/>
    <w:bookmarkStart w:id="791" w:name="ref-Shah2014"/>
    <w:p>
      <w:pPr>
        <w:pStyle w:val="Bibliography"/>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01">
        <w:r>
          <w:rPr>
            <w:rStyle w:val="Hyperlink"/>
          </w:rPr>
          <w:t xml:space="preserve">https://doi.org/10.1093/aje/kwt312</w:t>
        </w:r>
      </w:hyperlink>
    </w:p>
    <w:bookmarkEnd w:id="791"/>
    <w:bookmarkStart w:id="792"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792"/>
    <w:bookmarkStart w:id="793" w:name="ref-Silva2021"/>
    <w:p>
      <w:pPr>
        <w:pStyle w:val="Bibliography"/>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793"/>
    <w:bookmarkStart w:id="794" w:name="ref-Skou2022"/>
    <w:p>
      <w:pPr>
        <w:pStyle w:val="Bibliography"/>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794"/>
    <w:bookmarkStart w:id="795"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795"/>
    <w:bookmarkStart w:id="796" w:name="ref-Song2020"/>
    <w:p>
      <w:pPr>
        <w:pStyle w:val="Bibliography"/>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796"/>
    <w:bookmarkStart w:id="797"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797"/>
    <w:bookmarkStart w:id="798" w:name="ref-Steegers2021"/>
    <w:p>
      <w:pPr>
        <w:pStyle w:val="Bibliography"/>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798"/>
    <w:bookmarkStart w:id="799" w:name="ref-Stubbs2018"/>
    <w:p>
      <w:pPr>
        <w:pStyle w:val="Bibliography"/>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799"/>
    <w:bookmarkStart w:id="800"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800"/>
    <w:bookmarkStart w:id="801"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801"/>
    <w:bookmarkStart w:id="802" w:name="ref-Tomasdottir2015"/>
    <w:p>
      <w:pPr>
        <w:pStyle w:val="Bibliography"/>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802"/>
    <w:bookmarkStart w:id="803" w:name="ref-Tremblay2016"/>
    <w:p>
      <w:pPr>
        <w:pStyle w:val="Bibliography"/>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803"/>
    <w:bookmarkStart w:id="804"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804"/>
    <w:bookmarkStart w:id="805" w:name="ref-Tsao2022"/>
    <w:p>
      <w:pPr>
        <w:pStyle w:val="Bibliography"/>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08">
        <w:r>
          <w:rPr>
            <w:rStyle w:val="Hyperlink"/>
          </w:rPr>
          <w:t xml:space="preserve">https://doi.org/10.1161/CIR.0000000000001052</w:t>
        </w:r>
      </w:hyperlink>
    </w:p>
    <w:bookmarkEnd w:id="805"/>
    <w:bookmarkStart w:id="806"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806"/>
    <w:bookmarkStart w:id="807"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807"/>
    <w:bookmarkStart w:id="808"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08"/>
    <w:bookmarkStart w:id="809" w:name="ref-Vanderwall2017"/>
    <w:p>
      <w:pPr>
        <w:pStyle w:val="Bibliography"/>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490">
        <w:r>
          <w:rPr>
            <w:rStyle w:val="Hyperlink"/>
          </w:rPr>
          <w:t xml:space="preserve">https://doi.org/10.1186/s12887-017-0891-z</w:t>
        </w:r>
      </w:hyperlink>
    </w:p>
    <w:bookmarkEnd w:id="809"/>
    <w:bookmarkStart w:id="810"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810"/>
    <w:bookmarkStart w:id="811"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811"/>
    <w:bookmarkStart w:id="812"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812"/>
    <w:bookmarkStart w:id="813" w:name="ref-Wang2022"/>
    <w:p>
      <w:pPr>
        <w:pStyle w:val="Bibliography"/>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10">
        <w:r>
          <w:rPr>
            <w:rStyle w:val="Hyperlink"/>
          </w:rPr>
          <w:t xml:space="preserve">https://doi.org/10.1016/j.jstrokecerebrovasdis.2022.106388</w:t>
        </w:r>
      </w:hyperlink>
    </w:p>
    <w:bookmarkEnd w:id="813"/>
    <w:bookmarkStart w:id="814"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814"/>
    <w:bookmarkStart w:id="815"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815"/>
    <w:bookmarkStart w:id="816" w:name="ref-WHO2022"/>
    <w:p>
      <w:pPr>
        <w:pStyle w:val="Bibliography"/>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16"/>
    <w:bookmarkStart w:id="817"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17"/>
    <w:bookmarkStart w:id="818" w:name="ref-Wong2011"/>
    <w:p>
      <w:pPr>
        <w:pStyle w:val="Bibliography"/>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818"/>
    <w:bookmarkStart w:id="819" w:name="ref-WorldMedicalAssociation2013"/>
    <w:p>
      <w:pPr>
        <w:pStyle w:val="Bibliography"/>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13">
        <w:r>
          <w:rPr>
            <w:rStyle w:val="Hyperlink"/>
          </w:rPr>
          <w:t xml:space="preserve">https://doi.org/10.1001/jama.2013.281053</w:t>
        </w:r>
      </w:hyperlink>
    </w:p>
    <w:bookmarkEnd w:id="819"/>
    <w:bookmarkStart w:id="820" w:name="ref-Yang2020"/>
    <w:p>
      <w:pPr>
        <w:pStyle w:val="Bibliography"/>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15">
        <w:r>
          <w:rPr>
            <w:rStyle w:val="Hyperlink"/>
          </w:rPr>
          <w:t xml:space="preserve">https://doi.org/doi:10.1161/HYPERTENSIONAHA.119.14168</w:t>
        </w:r>
      </w:hyperlink>
    </w:p>
    <w:bookmarkEnd w:id="820"/>
    <w:bookmarkStart w:id="821"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821"/>
    <w:bookmarkStart w:id="822" w:name="ref-Zhai2015"/>
    <w:p>
      <w:pPr>
        <w:pStyle w:val="Bibliography"/>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822"/>
    <w:bookmarkStart w:id="823" w:name="ref-Zhou2022"/>
    <w:p>
      <w:pPr>
        <w:pStyle w:val="Bibliography"/>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493">
        <w:r>
          <w:rPr>
            <w:rStyle w:val="Hyperlink"/>
          </w:rPr>
          <w:t xml:space="preserve">https://doi.org/10.1111/jcpp.13474</w:t>
        </w:r>
      </w:hyperlink>
    </w:p>
    <w:bookmarkEnd w:id="823"/>
    <w:bookmarkStart w:id="824"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24"/>
    <w:bookmarkStart w:id="825"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25"/>
    <w:bookmarkEnd w:id="826"/>
    <w:bookmarkEnd w:id="827"/>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2">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710842185" w:numId="1">
    <w:abstractNumId w:val="0"/>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114" Target="media/rId114.pdf" /><Relationship Type="http://schemas.openxmlformats.org/officeDocument/2006/relationships/image" Id="rId131" Target="media/rId131.pdf" /><Relationship Type="http://schemas.openxmlformats.org/officeDocument/2006/relationships/image" Id="rId136" Target="media/rId136.pdf" /><Relationship Type="http://schemas.openxmlformats.org/officeDocument/2006/relationships/image" Id="rId141" Target="media/rId141.pdf"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425" Target="media/rId425.png" /><Relationship Type="http://schemas.openxmlformats.org/officeDocument/2006/relationships/image" Id="rId432" Target="media/rId432.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0" Target="media/rId50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3" Target="media/rId533.png" /><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13"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570"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99"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06" Target="https://doi.org/10.1007/s00429-020-02209-0" TargetMode="External" /><Relationship Type="http://schemas.openxmlformats.org/officeDocument/2006/relationships/hyperlink" Id="rId573" Target="https://doi.org/10.1007/s00467-020-04593-5" TargetMode="External" /><Relationship Type="http://schemas.openxmlformats.org/officeDocument/2006/relationships/hyperlink" Id="rId562" Target="https://doi.org/10.1007/s00467-021-05077-w" TargetMode="External" /><Relationship Type="http://schemas.openxmlformats.org/officeDocument/2006/relationships/hyperlink" Id="rId451"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93"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55"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68"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49"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8"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49" Target="https://doi.org/10.1016/j.jad.2023.07.044" TargetMode="External" /><Relationship Type="http://schemas.openxmlformats.org/officeDocument/2006/relationships/hyperlink" Id="rId466"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45"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70" Target="https://doi.org/10.1016/j.jpsychires.2023.05.034" TargetMode="External" /><Relationship Type="http://schemas.openxmlformats.org/officeDocument/2006/relationships/hyperlink" Id="rId610"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591" Target="https://doi.org/10.1016/j.neurobiolaging.2018.02.012" TargetMode="External" /><Relationship Type="http://schemas.openxmlformats.org/officeDocument/2006/relationships/hyperlink" Id="rId565"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53" Target="https://doi.org/10.1037/a0035297" TargetMode="External" /><Relationship Type="http://schemas.openxmlformats.org/officeDocument/2006/relationships/hyperlink" Id="rId464"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474"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03"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01"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560" Target="https://doi.org/10.1093/gerona/glz039" TargetMode="External" /><Relationship Type="http://schemas.openxmlformats.org/officeDocument/2006/relationships/hyperlink" Id="rId460"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555"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58"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493" Target="https://doi.org/10.1111/jcpp.13474" TargetMode="External" /><Relationship Type="http://schemas.openxmlformats.org/officeDocument/2006/relationships/hyperlink" Id="rId595"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08" Target="https://doi.org/10.1161/CIR.0000000000001052" TargetMode="External" /><Relationship Type="http://schemas.openxmlformats.org/officeDocument/2006/relationships/hyperlink" Id="rId498" Target="https://doi.org/10.1161/HYPERTENSIONAHA.123.21672" TargetMode="External" /><Relationship Type="http://schemas.openxmlformats.org/officeDocument/2006/relationships/hyperlink" Id="rId585"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478" Target="https://doi.org/10.1186/1471-2458-13-629" TargetMode="External" /><Relationship Type="http://schemas.openxmlformats.org/officeDocument/2006/relationships/hyperlink" Id="rId490"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483" Target="https://doi.org/10.12688/wellcomeopenres.15132.1" TargetMode="External" /><Relationship Type="http://schemas.openxmlformats.org/officeDocument/2006/relationships/hyperlink" Id="rId476"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487" Target="https://doi.org/10.18637/jss.v048.i02" TargetMode="External" /><Relationship Type="http://schemas.openxmlformats.org/officeDocument/2006/relationships/hyperlink" Id="rId553" Target="https://doi.org/10.18637/jss.v067.i01" TargetMode="External" /><Relationship Type="http://schemas.openxmlformats.org/officeDocument/2006/relationships/hyperlink" Id="rId551"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580" Target="https://doi.org/10.3389/fcvm.2022.973793" TargetMode="External" /><Relationship Type="http://schemas.openxmlformats.org/officeDocument/2006/relationships/hyperlink" Id="rId337" Target="https://doi.org/10.3389/fphys.2020.00185" TargetMode="External" /><Relationship Type="http://schemas.openxmlformats.org/officeDocument/2006/relationships/hyperlink" Id="rId587" Target="https://doi.org/10.3389/fpsyt.2019.00696" TargetMode="External" /><Relationship Type="http://schemas.openxmlformats.org/officeDocument/2006/relationships/hyperlink" Id="rId547" Target="https://doi.org/10.3390/jcm11113127" TargetMode="External" /><Relationship Type="http://schemas.openxmlformats.org/officeDocument/2006/relationships/hyperlink" Id="rId447"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89" Target="https://doi.org/doi:10.1161/HYPERTENSIONAHA.115.06610" TargetMode="External" /><Relationship Type="http://schemas.openxmlformats.org/officeDocument/2006/relationships/hyperlink" Id="rId577" Target="https://doi.org/doi:10.1161/HYPERTENSIONAHA.118.11686" TargetMode="External" /><Relationship Type="http://schemas.openxmlformats.org/officeDocument/2006/relationships/hyperlink" Id="rId615" Target="https://doi.org/doi:10.1161/HYPERTENSIONAHA.119.14168" TargetMode="External" /><Relationship Type="http://schemas.openxmlformats.org/officeDocument/2006/relationships/hyperlink" Id="rId575" Target="https://doi.org/doi:10.1161/JAHA.118.009847" TargetMode="External" /><Relationship Type="http://schemas.openxmlformats.org/officeDocument/2006/relationships/hyperlink" Id="rId517" Target="https://fsl.fmrib.ox.ac.uk/fsl/" TargetMode="External" /><Relationship Type="http://schemas.openxmlformats.org/officeDocument/2006/relationships/hyperlink" Id="rId520"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14"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12"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_rels/footnotes.xml.rels><?xml version="1.0" encoding="UTF-8"?><Relationships xmlns="http://schemas.openxmlformats.org/package/2006/relationships"><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13"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570"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99"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06" Target="https://doi.org/10.1007/s00429-020-02209-0" TargetMode="External" /><Relationship Type="http://schemas.openxmlformats.org/officeDocument/2006/relationships/hyperlink" Id="rId573" Target="https://doi.org/10.1007/s00467-020-04593-5" TargetMode="External" /><Relationship Type="http://schemas.openxmlformats.org/officeDocument/2006/relationships/hyperlink" Id="rId562" Target="https://doi.org/10.1007/s00467-021-05077-w" TargetMode="External" /><Relationship Type="http://schemas.openxmlformats.org/officeDocument/2006/relationships/hyperlink" Id="rId451"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93"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55"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68"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49"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8"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49" Target="https://doi.org/10.1016/j.jad.2023.07.044" TargetMode="External" /><Relationship Type="http://schemas.openxmlformats.org/officeDocument/2006/relationships/hyperlink" Id="rId466"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45"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70" Target="https://doi.org/10.1016/j.jpsychires.2023.05.034" TargetMode="External" /><Relationship Type="http://schemas.openxmlformats.org/officeDocument/2006/relationships/hyperlink" Id="rId610"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591" Target="https://doi.org/10.1016/j.neurobiolaging.2018.02.012" TargetMode="External" /><Relationship Type="http://schemas.openxmlformats.org/officeDocument/2006/relationships/hyperlink" Id="rId565"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53" Target="https://doi.org/10.1037/a0035297" TargetMode="External" /><Relationship Type="http://schemas.openxmlformats.org/officeDocument/2006/relationships/hyperlink" Id="rId464"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474"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03"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01"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560" Target="https://doi.org/10.1093/gerona/glz039" TargetMode="External" /><Relationship Type="http://schemas.openxmlformats.org/officeDocument/2006/relationships/hyperlink" Id="rId460"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555"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58"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493" Target="https://doi.org/10.1111/jcpp.13474" TargetMode="External" /><Relationship Type="http://schemas.openxmlformats.org/officeDocument/2006/relationships/hyperlink" Id="rId595"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08" Target="https://doi.org/10.1161/CIR.0000000000001052" TargetMode="External" /><Relationship Type="http://schemas.openxmlformats.org/officeDocument/2006/relationships/hyperlink" Id="rId498" Target="https://doi.org/10.1161/HYPERTENSIONAHA.123.21672" TargetMode="External" /><Relationship Type="http://schemas.openxmlformats.org/officeDocument/2006/relationships/hyperlink" Id="rId585"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478" Target="https://doi.org/10.1186/1471-2458-13-629" TargetMode="External" /><Relationship Type="http://schemas.openxmlformats.org/officeDocument/2006/relationships/hyperlink" Id="rId490"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483" Target="https://doi.org/10.12688/wellcomeopenres.15132.1" TargetMode="External" /><Relationship Type="http://schemas.openxmlformats.org/officeDocument/2006/relationships/hyperlink" Id="rId476"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487" Target="https://doi.org/10.18637/jss.v048.i02" TargetMode="External" /><Relationship Type="http://schemas.openxmlformats.org/officeDocument/2006/relationships/hyperlink" Id="rId553" Target="https://doi.org/10.18637/jss.v067.i01" TargetMode="External" /><Relationship Type="http://schemas.openxmlformats.org/officeDocument/2006/relationships/hyperlink" Id="rId551"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580" Target="https://doi.org/10.3389/fcvm.2022.973793" TargetMode="External" /><Relationship Type="http://schemas.openxmlformats.org/officeDocument/2006/relationships/hyperlink" Id="rId337" Target="https://doi.org/10.3389/fphys.2020.00185" TargetMode="External" /><Relationship Type="http://schemas.openxmlformats.org/officeDocument/2006/relationships/hyperlink" Id="rId587" Target="https://doi.org/10.3389/fpsyt.2019.00696" TargetMode="External" /><Relationship Type="http://schemas.openxmlformats.org/officeDocument/2006/relationships/hyperlink" Id="rId547" Target="https://doi.org/10.3390/jcm11113127" TargetMode="External" /><Relationship Type="http://schemas.openxmlformats.org/officeDocument/2006/relationships/hyperlink" Id="rId447"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89" Target="https://doi.org/doi:10.1161/HYPERTENSIONAHA.115.06610" TargetMode="External" /><Relationship Type="http://schemas.openxmlformats.org/officeDocument/2006/relationships/hyperlink" Id="rId577" Target="https://doi.org/doi:10.1161/HYPERTENSIONAHA.118.11686" TargetMode="External" /><Relationship Type="http://schemas.openxmlformats.org/officeDocument/2006/relationships/hyperlink" Id="rId615" Target="https://doi.org/doi:10.1161/HYPERTENSIONAHA.119.14168" TargetMode="External" /><Relationship Type="http://schemas.openxmlformats.org/officeDocument/2006/relationships/hyperlink" Id="rId575" Target="https://doi.org/doi:10.1161/JAHA.118.009847" TargetMode="External" /><Relationship Type="http://schemas.openxmlformats.org/officeDocument/2006/relationships/hyperlink" Id="rId517" Target="https://fsl.fmrib.ox.ac.uk/fsl/" TargetMode="External" /><Relationship Type="http://schemas.openxmlformats.org/officeDocument/2006/relationships/hyperlink" Id="rId520"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14"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12"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2025-08-18T15:56:15Z</dcterms:created>
  <dcterms:modified xsi:type="dcterms:W3CDTF">2025-08-18T15:56:15Z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